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Annex1"/>
    <w:p w14:paraId="5CC1C690" w14:textId="095C5426" w:rsidR="00801DE1" w:rsidRPr="00AC0422" w:rsidRDefault="003B2CAE" w:rsidP="001354E3">
      <w:pPr>
        <w:spacing w:after="0"/>
        <w:jc w:val="left"/>
        <w:rPr>
          <w:rFonts w:asciiTheme="minorHAnsi" w:hAnsiTheme="minorHAnsi" w:cstheme="minorHAnsi"/>
          <w:szCs w:val="20"/>
        </w:rPr>
      </w:pPr>
      <w:r w:rsidRPr="00AC0422">
        <w:rPr>
          <w:rFonts w:asciiTheme="minorHAnsi" w:hAnsiTheme="minorHAnsi" w:cstheme="minorHAnsi"/>
          <w:noProof/>
          <w:szCs w:val="20"/>
        </w:rPr>
        <mc:AlternateContent>
          <mc:Choice Requires="wps">
            <w:drawing>
              <wp:anchor distT="0" distB="0" distL="114300" distR="114300" simplePos="0" relativeHeight="251660288" behindDoc="0" locked="0" layoutInCell="1" allowOverlap="1" wp14:anchorId="3614FC17" wp14:editId="1A609E16">
                <wp:simplePos x="0" y="0"/>
                <wp:positionH relativeFrom="column">
                  <wp:posOffset>-548640</wp:posOffset>
                </wp:positionH>
                <wp:positionV relativeFrom="paragraph">
                  <wp:posOffset>-586740</wp:posOffset>
                </wp:positionV>
                <wp:extent cx="7018020" cy="1501140"/>
                <wp:effectExtent l="0" t="0" r="0" b="3810"/>
                <wp:wrapNone/>
                <wp:docPr id="8" name="Zone de texte 8"/>
                <wp:cNvGraphicFramePr/>
                <a:graphic xmlns:a="http://schemas.openxmlformats.org/drawingml/2006/main">
                  <a:graphicData uri="http://schemas.microsoft.com/office/word/2010/wordprocessingShape">
                    <wps:wsp>
                      <wps:cNvSpPr txBox="1"/>
                      <wps:spPr>
                        <a:xfrm>
                          <a:off x="0" y="0"/>
                          <a:ext cx="7018020" cy="15011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D00ACE7" w14:textId="6D8629AC" w:rsidR="00C84F16" w:rsidRDefault="00C84F16">
                            <w:r>
                              <w:rPr>
                                <w:noProof/>
                              </w:rPr>
                              <w:drawing>
                                <wp:inline distT="0" distB="0" distL="0" distR="0" wp14:anchorId="60CCA747" wp14:editId="17583649">
                                  <wp:extent cx="937260" cy="1463040"/>
                                  <wp:effectExtent l="0" t="0" r="0" b="0"/>
                                  <wp:docPr id="41" name="Picture 23"/>
                                  <wp:cNvGraphicFramePr/>
                                  <a:graphic xmlns:a="http://schemas.openxmlformats.org/drawingml/2006/main">
                                    <a:graphicData uri="http://schemas.openxmlformats.org/drawingml/2006/picture">
                                      <pic:pic xmlns:pic="http://schemas.openxmlformats.org/drawingml/2006/picture">
                                        <pic:nvPicPr>
                                          <pic:cNvPr id="41" name="Picture 23"/>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37260" cy="1463040"/>
                                          </a:xfrm>
                                          <a:prstGeom prst="rect">
                                            <a:avLst/>
                                          </a:prstGeom>
                                          <a:noFill/>
                                        </pic:spPr>
                                      </pic:pic>
                                    </a:graphicData>
                                  </a:graphic>
                                </wp:inline>
                              </w:drawing>
                            </w:r>
                            <w:r>
                              <w:t xml:space="preserve">                                                                                                                           </w:t>
                            </w:r>
                            <w:r w:rsidRPr="00F0218B">
                              <w:rPr>
                                <w:rFonts w:asciiTheme="minorHAnsi" w:hAnsiTheme="minorHAnsi" w:cstheme="minorHAnsi"/>
                                <w:noProof/>
                              </w:rPr>
                              <w:drawing>
                                <wp:inline distT="0" distB="0" distL="0" distR="0" wp14:anchorId="57569E91" wp14:editId="310E030F">
                                  <wp:extent cx="1576705" cy="1104652"/>
                                  <wp:effectExtent l="0" t="0" r="0" b="0"/>
                                  <wp:docPr id="18" name="Picture 9" descr="GCFblgrnLogoRGB.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GCFblgrnLogoRGB.eps"/>
                                          <pic:cNvPicPr>
                                            <a:picLocks noChangeAspect="1"/>
                                          </pic:cNvPicPr>
                                        </pic:nvPicPr>
                                        <pic:blipFill>
                                          <a:blip r:embed="rId13">
                                            <a:extLst>
                                              <a:ext uri="{28A0092B-C50C-407E-A947-70E740481C1C}">
                                                <a14:useLocalDpi xmlns:a14="http://schemas.microsoft.com/office/drawing/2010/main"/>
                                              </a:ext>
                                            </a:extLst>
                                          </a:blip>
                                          <a:stretch>
                                            <a:fillRect/>
                                          </a:stretch>
                                        </pic:blipFill>
                                        <pic:spPr>
                                          <a:xfrm>
                                            <a:off x="0" y="0"/>
                                            <a:ext cx="1612229" cy="112954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614FC17" id="_x0000_t202" coordsize="21600,21600" o:spt="202" path="m,l,21600r21600,l21600,xe">
                <v:stroke joinstyle="miter"/>
                <v:path gradientshapeok="t" o:connecttype="rect"/>
              </v:shapetype>
              <v:shape id="Zone de texte 8" o:spid="_x0000_s1026" type="#_x0000_t202" style="position:absolute;margin-left:-43.2pt;margin-top:-46.2pt;width:552.6pt;height:118.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" fillcolor="white [3201]" stroked="f" strokeweight=".5pt">
                <v:textbox>
                  <w:txbxContent>
                    <w:p w14:paraId="1D00ACE7" w14:textId="6D8629AC" w:rsidR="00C84F16" w:rsidRDefault="00C84F16">
                      <w:r>
                        <w:rPr>
                          <w:noProof/>
                        </w:rPr>
                        <w:drawing>
                          <wp:inline distT="0" distB="0" distL="0" distR="0" wp14:anchorId="60CCA747" wp14:editId="17583649">
                            <wp:extent cx="937260" cy="1463040"/>
                            <wp:effectExtent l="0" t="0" r="0" b="0"/>
                            <wp:docPr id="41" name="Picture 23"/>
                            <wp:cNvGraphicFramePr/>
                            <a:graphic xmlns:a="http://schemas.openxmlformats.org/drawingml/2006/main">
                              <a:graphicData uri="http://schemas.openxmlformats.org/drawingml/2006/picture">
                                <pic:pic xmlns:pic="http://schemas.openxmlformats.org/drawingml/2006/picture">
                                  <pic:nvPicPr>
                                    <pic:cNvPr id="41" name="Picture 23"/>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37260" cy="1463040"/>
                                    </a:xfrm>
                                    <a:prstGeom prst="rect">
                                      <a:avLst/>
                                    </a:prstGeom>
                                    <a:noFill/>
                                  </pic:spPr>
                                </pic:pic>
                              </a:graphicData>
                            </a:graphic>
                          </wp:inline>
                        </w:drawing>
                      </w:r>
                      <w:r>
                        <w:t xml:space="preserve">                                                                                                                           </w:t>
                      </w:r>
                      <w:r w:rsidRPr="00F0218B">
                        <w:rPr>
                          <w:rFonts w:asciiTheme="minorHAnsi" w:hAnsiTheme="minorHAnsi" w:cstheme="minorHAnsi"/>
                          <w:noProof/>
                        </w:rPr>
                        <w:drawing>
                          <wp:inline distT="0" distB="0" distL="0" distR="0" wp14:anchorId="57569E91" wp14:editId="310E030F">
                            <wp:extent cx="1576705" cy="1104652"/>
                            <wp:effectExtent l="0" t="0" r="0" b="0"/>
                            <wp:docPr id="18" name="Picture 9" descr="GCFblgrnLogoRGB.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GCFblgrnLogoRGB.eps"/>
                                    <pic:cNvPicPr>
                                      <a:picLocks noChangeAspect="1"/>
                                    </pic:cNvPicPr>
                                  </pic:nvPicPr>
                                  <pic:blipFill>
                                    <a:blip r:embed="rId15">
                                      <a:extLst>
                                        <a:ext uri="{28A0092B-C50C-407E-A947-70E740481C1C}">
                                          <a14:useLocalDpi xmlns:a14="http://schemas.microsoft.com/office/drawing/2010/main"/>
                                        </a:ext>
                                      </a:extLst>
                                    </a:blip>
                                    <a:stretch>
                                      <a:fillRect/>
                                    </a:stretch>
                                  </pic:blipFill>
                                  <pic:spPr>
                                    <a:xfrm>
                                      <a:off x="0" y="0"/>
                                      <a:ext cx="1612229" cy="1129541"/>
                                    </a:xfrm>
                                    <a:prstGeom prst="rect">
                                      <a:avLst/>
                                    </a:prstGeom>
                                  </pic:spPr>
                                </pic:pic>
                              </a:graphicData>
                            </a:graphic>
                          </wp:inline>
                        </w:drawing>
                      </w:r>
                    </w:p>
                  </w:txbxContent>
                </v:textbox>
              </v:shape>
            </w:pict>
          </mc:Fallback>
        </mc:AlternateContent>
      </w:r>
    </w:p>
    <w:p w14:paraId="662CEEE5" w14:textId="77777777" w:rsidR="003B2CAE" w:rsidRPr="00AC0422" w:rsidRDefault="003B2CAE" w:rsidP="001354E3">
      <w:pPr>
        <w:spacing w:after="0"/>
        <w:jc w:val="left"/>
        <w:rPr>
          <w:rFonts w:asciiTheme="minorHAnsi" w:hAnsiTheme="minorHAnsi" w:cstheme="minorHAnsi"/>
          <w:szCs w:val="20"/>
        </w:rPr>
      </w:pPr>
    </w:p>
    <w:p w14:paraId="64D5AB85" w14:textId="77777777" w:rsidR="003B2CAE" w:rsidRPr="00AC0422" w:rsidRDefault="003B2CAE" w:rsidP="001354E3">
      <w:pPr>
        <w:spacing w:after="0"/>
        <w:jc w:val="left"/>
        <w:rPr>
          <w:rFonts w:asciiTheme="minorHAnsi" w:hAnsiTheme="minorHAnsi" w:cstheme="minorHAnsi"/>
          <w:szCs w:val="20"/>
        </w:rPr>
      </w:pPr>
    </w:p>
    <w:p w14:paraId="7421EF78" w14:textId="77777777" w:rsidR="003B2CAE" w:rsidRPr="00AC0422" w:rsidRDefault="003B2CAE" w:rsidP="001354E3">
      <w:pPr>
        <w:spacing w:after="0"/>
        <w:jc w:val="left"/>
        <w:rPr>
          <w:rFonts w:asciiTheme="minorHAnsi" w:hAnsiTheme="minorHAnsi" w:cstheme="minorHAnsi"/>
          <w:szCs w:val="20"/>
        </w:rPr>
      </w:pPr>
    </w:p>
    <w:p w14:paraId="54ECCCD9" w14:textId="77777777" w:rsidR="003B2CAE" w:rsidRPr="00AC0422" w:rsidRDefault="003B2CAE" w:rsidP="001354E3">
      <w:pPr>
        <w:spacing w:after="0"/>
        <w:jc w:val="left"/>
        <w:rPr>
          <w:rFonts w:asciiTheme="minorHAnsi" w:hAnsiTheme="minorHAnsi" w:cstheme="minorHAnsi"/>
          <w:szCs w:val="20"/>
        </w:rPr>
      </w:pPr>
    </w:p>
    <w:p w14:paraId="1B7B7D39" w14:textId="77777777" w:rsidR="003B2CAE" w:rsidRPr="00AC0422" w:rsidRDefault="003B2CAE" w:rsidP="001354E3">
      <w:pPr>
        <w:spacing w:after="0"/>
        <w:jc w:val="left"/>
        <w:rPr>
          <w:rFonts w:asciiTheme="minorHAnsi" w:hAnsiTheme="minorHAnsi" w:cstheme="minorHAnsi"/>
          <w:szCs w:val="20"/>
        </w:rPr>
      </w:pPr>
    </w:p>
    <w:p w14:paraId="6B7FA5C2" w14:textId="77777777" w:rsidR="003B2CAE" w:rsidRPr="00AC0422" w:rsidRDefault="003B2CAE" w:rsidP="001354E3">
      <w:pPr>
        <w:spacing w:after="0"/>
        <w:jc w:val="left"/>
        <w:rPr>
          <w:rFonts w:asciiTheme="minorHAnsi" w:hAnsiTheme="minorHAnsi" w:cstheme="minorHAnsi"/>
          <w:szCs w:val="20"/>
        </w:rPr>
      </w:pPr>
    </w:p>
    <w:p w14:paraId="74A77078" w14:textId="08C5225A" w:rsidR="00231A45" w:rsidRPr="00AC0422" w:rsidRDefault="00231A45" w:rsidP="001B0CF4">
      <w:pPr>
        <w:spacing w:after="0"/>
        <w:ind w:left="2160" w:firstLine="720"/>
        <w:jc w:val="left"/>
        <w:rPr>
          <w:rFonts w:asciiTheme="minorHAnsi" w:hAnsiTheme="minorHAnsi" w:cstheme="minorHAnsi"/>
          <w:szCs w:val="20"/>
        </w:rPr>
      </w:pPr>
    </w:p>
    <w:bookmarkEnd w:id="0"/>
    <w:p w14:paraId="3E7C35C1" w14:textId="77777777" w:rsidR="00E3519C" w:rsidRPr="00AC0422" w:rsidRDefault="00E1433A" w:rsidP="00231A45">
      <w:pPr>
        <w:spacing w:after="240"/>
        <w:jc w:val="center"/>
        <w:rPr>
          <w:rFonts w:asciiTheme="minorHAnsi" w:hAnsiTheme="minorHAnsi" w:cstheme="minorHAnsi"/>
          <w:b/>
          <w:szCs w:val="22"/>
        </w:rPr>
      </w:pPr>
      <w:r w:rsidRPr="00AC0422">
        <w:rPr>
          <w:rFonts w:asciiTheme="minorHAnsi" w:hAnsiTheme="minorHAnsi" w:cstheme="minorHAnsi"/>
          <w:b/>
          <w:szCs w:val="22"/>
        </w:rPr>
        <w:t xml:space="preserve">United Nations Development </w:t>
      </w:r>
      <w:proofErr w:type="spellStart"/>
      <w:r w:rsidRPr="00AC0422">
        <w:rPr>
          <w:rFonts w:asciiTheme="minorHAnsi" w:hAnsiTheme="minorHAnsi" w:cstheme="minorHAnsi"/>
          <w:b/>
          <w:szCs w:val="22"/>
        </w:rPr>
        <w:t>Programme</w:t>
      </w:r>
      <w:proofErr w:type="spellEnd"/>
    </w:p>
    <w:p w14:paraId="3E26FF4F" w14:textId="338B4107" w:rsidR="00DF11B5" w:rsidRPr="00AC0422" w:rsidRDefault="001754B1" w:rsidP="00231A45">
      <w:pPr>
        <w:spacing w:after="0"/>
        <w:jc w:val="center"/>
        <w:rPr>
          <w:rFonts w:asciiTheme="minorHAnsi" w:hAnsiTheme="minorHAnsi" w:cstheme="minorHAnsi"/>
          <w:b/>
          <w:szCs w:val="22"/>
        </w:rPr>
      </w:pPr>
      <w:r w:rsidRPr="00AC0422">
        <w:rPr>
          <w:rFonts w:asciiTheme="minorHAnsi" w:hAnsiTheme="minorHAnsi" w:cstheme="minorHAnsi"/>
          <w:b/>
          <w:szCs w:val="22"/>
        </w:rPr>
        <w:t xml:space="preserve">Project Document for </w:t>
      </w:r>
      <w:r w:rsidR="00350554" w:rsidRPr="00AC0422">
        <w:rPr>
          <w:rFonts w:asciiTheme="minorHAnsi" w:hAnsiTheme="minorHAnsi" w:cstheme="minorHAnsi"/>
          <w:b/>
          <w:szCs w:val="22"/>
        </w:rPr>
        <w:t xml:space="preserve">NAP/Readiness </w:t>
      </w:r>
      <w:r w:rsidR="000B3D4F" w:rsidRPr="00AC0422">
        <w:rPr>
          <w:rFonts w:asciiTheme="minorHAnsi" w:hAnsiTheme="minorHAnsi" w:cstheme="minorHAnsi"/>
          <w:b/>
          <w:szCs w:val="22"/>
        </w:rPr>
        <w:t>projects</w:t>
      </w:r>
    </w:p>
    <w:p w14:paraId="791D5D80" w14:textId="37E5234D" w:rsidR="000230A3" w:rsidRPr="00AC0422" w:rsidRDefault="000B3D4F" w:rsidP="00231A45">
      <w:pPr>
        <w:spacing w:after="0"/>
        <w:jc w:val="center"/>
        <w:rPr>
          <w:rFonts w:asciiTheme="minorHAnsi" w:hAnsiTheme="minorHAnsi" w:cstheme="minorHAnsi"/>
          <w:b/>
          <w:szCs w:val="22"/>
        </w:rPr>
      </w:pPr>
      <w:r w:rsidRPr="00AC0422">
        <w:rPr>
          <w:rFonts w:asciiTheme="minorHAnsi" w:hAnsiTheme="minorHAnsi" w:cstheme="minorHAnsi"/>
          <w:b/>
          <w:szCs w:val="22"/>
        </w:rPr>
        <w:t xml:space="preserve">financed by the </w:t>
      </w:r>
      <w:r w:rsidR="00515B52" w:rsidRPr="00AC0422">
        <w:rPr>
          <w:rFonts w:asciiTheme="minorHAnsi" w:hAnsiTheme="minorHAnsi" w:cstheme="minorHAnsi"/>
          <w:b/>
          <w:szCs w:val="22"/>
        </w:rPr>
        <w:t xml:space="preserve">Green Climate Fund </w:t>
      </w:r>
    </w:p>
    <w:p w14:paraId="7698F59A" w14:textId="77777777" w:rsidR="00DF11B5" w:rsidRPr="00AC0422" w:rsidRDefault="00DF11B5" w:rsidP="000B3D4F">
      <w:pPr>
        <w:spacing w:after="0"/>
        <w:jc w:val="left"/>
        <w:rPr>
          <w:rFonts w:asciiTheme="minorHAnsi" w:hAnsiTheme="minorHAnsi" w:cstheme="minorHAnsi"/>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396"/>
        <w:gridCol w:w="54"/>
        <w:gridCol w:w="1170"/>
        <w:gridCol w:w="3600"/>
      </w:tblGrid>
      <w:tr w:rsidR="00B270EB" w:rsidRPr="00AC0422" w14:paraId="266A3836" w14:textId="77777777" w:rsidTr="1F4856B4">
        <w:trPr>
          <w:trHeight w:val="548"/>
        </w:trPr>
        <w:tc>
          <w:tcPr>
            <w:tcW w:w="9355" w:type="dxa"/>
            <w:gridSpan w:val="5"/>
            <w:shd w:val="clear" w:color="auto" w:fill="auto"/>
          </w:tcPr>
          <w:p w14:paraId="651309C2" w14:textId="16698620" w:rsidR="00B270EB" w:rsidRPr="00AC0422" w:rsidRDefault="00235AE4" w:rsidP="00350554">
            <w:pPr>
              <w:spacing w:after="240"/>
              <w:jc w:val="left"/>
              <w:rPr>
                <w:rFonts w:asciiTheme="minorHAnsi" w:hAnsiTheme="minorHAnsi" w:cstheme="minorHAnsi"/>
                <w:b/>
                <w:szCs w:val="20"/>
              </w:rPr>
            </w:pPr>
            <w:r w:rsidRPr="00AC0422">
              <w:rPr>
                <w:rFonts w:asciiTheme="minorHAnsi" w:hAnsiTheme="minorHAnsi" w:cstheme="minorHAnsi"/>
                <w:b/>
                <w:szCs w:val="20"/>
              </w:rPr>
              <w:t xml:space="preserve">Project title: </w:t>
            </w:r>
            <w:r w:rsidR="006562D8" w:rsidRPr="00AC0422">
              <w:rPr>
                <w:rFonts w:asciiTheme="minorHAnsi" w:hAnsiTheme="minorHAnsi" w:cstheme="minorHAnsi"/>
                <w:b/>
                <w:szCs w:val="20"/>
              </w:rPr>
              <w:t xml:space="preserve">Developing and implementing the National Adaptation Plan (NAP) Process in </w:t>
            </w:r>
            <w:r w:rsidR="00D00F39" w:rsidRPr="00AC0422">
              <w:rPr>
                <w:rFonts w:asciiTheme="minorHAnsi" w:hAnsiTheme="minorHAnsi" w:cstheme="minorHAnsi"/>
                <w:b/>
                <w:szCs w:val="20"/>
              </w:rPr>
              <w:t>Yemen</w:t>
            </w:r>
            <w:r w:rsidRPr="00AC0422">
              <w:rPr>
                <w:rFonts w:asciiTheme="minorHAnsi" w:hAnsiTheme="minorHAnsi" w:cstheme="minorHAnsi"/>
                <w:b/>
                <w:szCs w:val="20"/>
              </w:rPr>
              <w:t xml:space="preserve"> </w:t>
            </w:r>
          </w:p>
        </w:tc>
      </w:tr>
      <w:tr w:rsidR="00AC0422" w:rsidRPr="00AC0422" w14:paraId="034B8EC7" w14:textId="77777777" w:rsidTr="00AC0422">
        <w:trPr>
          <w:trHeight w:val="1007"/>
        </w:trPr>
        <w:tc>
          <w:tcPr>
            <w:tcW w:w="4531" w:type="dxa"/>
            <w:gridSpan w:val="2"/>
            <w:shd w:val="clear" w:color="auto" w:fill="auto"/>
          </w:tcPr>
          <w:p w14:paraId="675B2069" w14:textId="46415E62" w:rsidR="00AC0422" w:rsidRPr="00AC0422" w:rsidRDefault="00AC0422" w:rsidP="1F4856B4">
            <w:pPr>
              <w:spacing w:after="240"/>
              <w:jc w:val="left"/>
              <w:rPr>
                <w:rStyle w:val="Hyperlink"/>
                <w:rFonts w:asciiTheme="minorHAnsi" w:hAnsiTheme="minorHAnsi" w:cstheme="minorHAnsi"/>
                <w:i/>
                <w:iCs/>
                <w:highlight w:val="yellow"/>
              </w:rPr>
            </w:pPr>
            <w:r w:rsidRPr="00AC0422">
              <w:rPr>
                <w:rFonts w:asciiTheme="minorHAnsi" w:hAnsiTheme="minorHAnsi" w:cstheme="minorHAnsi"/>
                <w:b/>
                <w:szCs w:val="20"/>
              </w:rPr>
              <w:t xml:space="preserve">Implementing Partner (GCF Executing Entity): </w:t>
            </w:r>
            <w:r w:rsidRPr="00AC0422">
              <w:rPr>
                <w:rFonts w:asciiTheme="minorHAnsi" w:hAnsiTheme="minorHAnsi" w:cstheme="minorHAnsi"/>
                <w:bCs/>
                <w:szCs w:val="20"/>
              </w:rPr>
              <w:t>United Nations Development program (UNDP)</w:t>
            </w:r>
          </w:p>
        </w:tc>
        <w:tc>
          <w:tcPr>
            <w:tcW w:w="4824" w:type="dxa"/>
            <w:gridSpan w:val="3"/>
            <w:shd w:val="clear" w:color="auto" w:fill="auto"/>
          </w:tcPr>
          <w:p w14:paraId="2DF74CD7" w14:textId="0B6256A5" w:rsidR="00AC0422" w:rsidRPr="00AC0422" w:rsidRDefault="00AC0422" w:rsidP="00350554">
            <w:pPr>
              <w:spacing w:after="240"/>
              <w:jc w:val="left"/>
              <w:rPr>
                <w:rFonts w:asciiTheme="minorHAnsi" w:hAnsiTheme="minorHAnsi" w:cstheme="minorHAnsi"/>
                <w:i/>
                <w:szCs w:val="20"/>
              </w:rPr>
            </w:pPr>
            <w:r w:rsidRPr="00AC0422">
              <w:rPr>
                <w:rFonts w:asciiTheme="minorHAnsi" w:hAnsiTheme="minorHAnsi" w:cstheme="minorHAnsi"/>
                <w:b/>
                <w:szCs w:val="20"/>
              </w:rPr>
              <w:t xml:space="preserve">Execution Modality: </w:t>
            </w:r>
            <w:r w:rsidRPr="00AC0422">
              <w:rPr>
                <w:rFonts w:asciiTheme="minorHAnsi" w:hAnsiTheme="minorHAnsi" w:cstheme="minorHAnsi"/>
                <w:szCs w:val="20"/>
              </w:rPr>
              <w:t>Direct Implementation Modality (DIM)</w:t>
            </w:r>
            <w:r w:rsidRPr="00AC0422">
              <w:rPr>
                <w:rFonts w:asciiTheme="minorHAnsi" w:hAnsiTheme="minorHAnsi" w:cstheme="minorHAnsi"/>
                <w:i/>
                <w:szCs w:val="20"/>
              </w:rPr>
              <w:t xml:space="preserve"> </w:t>
            </w:r>
          </w:p>
        </w:tc>
      </w:tr>
      <w:tr w:rsidR="0077088A" w:rsidRPr="00AC0422" w14:paraId="1ACDB75F" w14:textId="77777777" w:rsidTr="00282B2C">
        <w:trPr>
          <w:trHeight w:val="998"/>
        </w:trPr>
        <w:tc>
          <w:tcPr>
            <w:tcW w:w="9355" w:type="dxa"/>
            <w:gridSpan w:val="5"/>
            <w:shd w:val="clear" w:color="auto" w:fill="auto"/>
          </w:tcPr>
          <w:p w14:paraId="04B12464" w14:textId="1091CBAC" w:rsidR="0077088A" w:rsidRPr="00AC0422" w:rsidRDefault="00744EA8" w:rsidP="00C84F16">
            <w:pPr>
              <w:spacing w:after="240"/>
              <w:jc w:val="left"/>
              <w:rPr>
                <w:rFonts w:asciiTheme="minorHAnsi" w:hAnsiTheme="minorHAnsi" w:cstheme="minorHAnsi"/>
                <w:i/>
                <w:szCs w:val="20"/>
              </w:rPr>
            </w:pPr>
            <w:r w:rsidRPr="00AC0422">
              <w:rPr>
                <w:rFonts w:asciiTheme="minorHAnsi" w:hAnsiTheme="minorHAnsi" w:cstheme="minorHAnsi"/>
                <w:b/>
                <w:szCs w:val="20"/>
              </w:rPr>
              <w:t>UN</w:t>
            </w:r>
            <w:r w:rsidR="00C84F16" w:rsidRPr="00AC0422">
              <w:rPr>
                <w:rFonts w:asciiTheme="minorHAnsi" w:hAnsiTheme="minorHAnsi" w:cstheme="minorHAnsi"/>
                <w:b/>
                <w:szCs w:val="20"/>
              </w:rPr>
              <w:t>S</w:t>
            </w:r>
            <w:r w:rsidRPr="00AC0422">
              <w:rPr>
                <w:rFonts w:asciiTheme="minorHAnsi" w:hAnsiTheme="minorHAnsi" w:cstheme="minorHAnsi"/>
                <w:b/>
                <w:szCs w:val="20"/>
              </w:rPr>
              <w:t>D</w:t>
            </w:r>
            <w:r w:rsidR="00C84F16" w:rsidRPr="00AC0422">
              <w:rPr>
                <w:rFonts w:asciiTheme="minorHAnsi" w:hAnsiTheme="minorHAnsi" w:cstheme="minorHAnsi"/>
                <w:b/>
                <w:szCs w:val="20"/>
              </w:rPr>
              <w:t>C</w:t>
            </w:r>
            <w:r w:rsidRPr="00AC0422">
              <w:rPr>
                <w:rFonts w:asciiTheme="minorHAnsi" w:hAnsiTheme="minorHAnsi" w:cstheme="minorHAnsi"/>
                <w:b/>
                <w:szCs w:val="20"/>
              </w:rPr>
              <w:t xml:space="preserve">F/Country </w:t>
            </w:r>
            <w:proofErr w:type="spellStart"/>
            <w:r w:rsidRPr="00AC0422">
              <w:rPr>
                <w:rFonts w:asciiTheme="minorHAnsi" w:hAnsiTheme="minorHAnsi" w:cstheme="minorHAnsi"/>
                <w:b/>
                <w:szCs w:val="20"/>
              </w:rPr>
              <w:t>Programme</w:t>
            </w:r>
            <w:proofErr w:type="spellEnd"/>
            <w:r w:rsidRPr="00AC0422">
              <w:rPr>
                <w:rFonts w:asciiTheme="minorHAnsi" w:hAnsiTheme="minorHAnsi" w:cstheme="minorHAnsi"/>
                <w:b/>
                <w:szCs w:val="20"/>
              </w:rPr>
              <w:t xml:space="preserve"> </w:t>
            </w:r>
            <w:r w:rsidR="0077088A" w:rsidRPr="00AC0422">
              <w:rPr>
                <w:rFonts w:asciiTheme="minorHAnsi" w:hAnsiTheme="minorHAnsi" w:cstheme="minorHAnsi"/>
                <w:b/>
                <w:szCs w:val="20"/>
              </w:rPr>
              <w:t>Outcome</w:t>
            </w:r>
            <w:r w:rsidR="0077088A" w:rsidRPr="00AC0422">
              <w:rPr>
                <w:rFonts w:asciiTheme="minorHAnsi" w:hAnsiTheme="minorHAnsi" w:cstheme="minorHAnsi"/>
                <w:i/>
                <w:szCs w:val="20"/>
              </w:rPr>
              <w:t>:</w:t>
            </w:r>
            <w:r w:rsidR="004A4063" w:rsidRPr="00AC0422">
              <w:rPr>
                <w:rFonts w:asciiTheme="minorHAnsi" w:hAnsiTheme="minorHAnsi" w:cstheme="minorHAnsi"/>
                <w:i/>
                <w:szCs w:val="20"/>
              </w:rPr>
              <w:t xml:space="preserve"> </w:t>
            </w:r>
            <w:r w:rsidR="006B0DD8" w:rsidRPr="006B0DD8">
              <w:rPr>
                <w:rFonts w:asciiTheme="minorHAnsi" w:hAnsiTheme="minorHAnsi" w:cstheme="minorHAnsi"/>
                <w:i/>
                <w:szCs w:val="20"/>
              </w:rPr>
              <w:t>Outcome 1: “By 202</w:t>
            </w:r>
            <w:r w:rsidR="006B0DD8">
              <w:rPr>
                <w:rFonts w:asciiTheme="minorHAnsi" w:hAnsiTheme="minorHAnsi" w:cstheme="minorHAnsi"/>
                <w:i/>
                <w:szCs w:val="20"/>
              </w:rPr>
              <w:t>5</w:t>
            </w:r>
            <w:r w:rsidR="006B0DD8" w:rsidRPr="006B0DD8">
              <w:rPr>
                <w:rFonts w:asciiTheme="minorHAnsi" w:hAnsiTheme="minorHAnsi" w:cstheme="minorHAnsi"/>
                <w:i/>
                <w:szCs w:val="20"/>
              </w:rPr>
              <w:t xml:space="preserve">, people in Yemen, especially women, adolescents and girls and those in the most vulnerable and marginalized communities benefit from better, equal and inclusive access to nutritious food, sustainable and resilient livelihoods and environmental </w:t>
            </w:r>
            <w:r w:rsidR="006B0DD8" w:rsidRPr="00800C9C">
              <w:rPr>
                <w:rFonts w:asciiTheme="minorHAnsi" w:hAnsiTheme="minorHAnsi" w:cstheme="minorHAnsi"/>
                <w:i/>
                <w:szCs w:val="20"/>
              </w:rPr>
              <w:t>stability</w:t>
            </w:r>
            <w:r w:rsidR="00AC0422" w:rsidRPr="00800C9C">
              <w:rPr>
                <w:rFonts w:asciiTheme="minorHAnsi" w:hAnsiTheme="minorHAnsi" w:cstheme="minorHAnsi"/>
                <w:i/>
                <w:szCs w:val="20"/>
              </w:rPr>
              <w:t>.</w:t>
            </w:r>
          </w:p>
        </w:tc>
      </w:tr>
      <w:tr w:rsidR="00744EA8" w:rsidRPr="00AC0422" w14:paraId="085F5DC0" w14:textId="77777777" w:rsidTr="1F4856B4">
        <w:tc>
          <w:tcPr>
            <w:tcW w:w="9355" w:type="dxa"/>
            <w:gridSpan w:val="5"/>
            <w:shd w:val="clear" w:color="auto" w:fill="auto"/>
          </w:tcPr>
          <w:p w14:paraId="79CB53EB" w14:textId="08DD3E44" w:rsidR="00744EA8" w:rsidRPr="00AC0422" w:rsidRDefault="00744EA8" w:rsidP="00744EA8">
            <w:pPr>
              <w:spacing w:after="240"/>
              <w:jc w:val="left"/>
              <w:rPr>
                <w:rFonts w:asciiTheme="minorHAnsi" w:hAnsiTheme="minorHAnsi" w:cstheme="minorHAnsi"/>
                <w:i/>
                <w:iCs/>
              </w:rPr>
            </w:pPr>
            <w:r w:rsidRPr="00AC0422">
              <w:rPr>
                <w:rFonts w:asciiTheme="minorHAnsi" w:hAnsiTheme="minorHAnsi" w:cstheme="minorHAnsi"/>
                <w:b/>
                <w:szCs w:val="20"/>
              </w:rPr>
              <w:t xml:space="preserve">UNDP Strategic Plan Output: </w:t>
            </w:r>
            <w:r w:rsidR="00AC0422" w:rsidRPr="00AC0422">
              <w:rPr>
                <w:rFonts w:asciiTheme="minorHAnsi" w:hAnsiTheme="minorHAnsi" w:cstheme="minorHAnsi"/>
                <w:i/>
                <w:szCs w:val="20"/>
              </w:rPr>
              <w:t>2.3.1 Data and risk-informed development policies, plans, systems and financing incorporate integrated and gender-responsive solutions to reduce disaster risks, enable climate change adaptation and mitigation, and prevent risk of conflict</w:t>
            </w:r>
          </w:p>
        </w:tc>
      </w:tr>
      <w:tr w:rsidR="00744EA8" w:rsidRPr="00AC0422" w14:paraId="51C19395" w14:textId="77777777" w:rsidTr="001F16DE">
        <w:trPr>
          <w:trHeight w:val="809"/>
        </w:trPr>
        <w:tc>
          <w:tcPr>
            <w:tcW w:w="4585" w:type="dxa"/>
            <w:gridSpan w:val="3"/>
            <w:shd w:val="clear" w:color="auto" w:fill="auto"/>
          </w:tcPr>
          <w:p w14:paraId="2E6DFF5C" w14:textId="026275C2" w:rsidR="00744EA8" w:rsidRPr="00AC0422" w:rsidRDefault="00744EA8" w:rsidP="00744EA8">
            <w:pPr>
              <w:spacing w:after="240"/>
              <w:jc w:val="left"/>
              <w:rPr>
                <w:rFonts w:asciiTheme="minorHAnsi" w:hAnsiTheme="minorHAnsi" w:cstheme="minorHAnsi"/>
                <w:i/>
                <w:szCs w:val="20"/>
              </w:rPr>
            </w:pPr>
            <w:r w:rsidRPr="00AC0422">
              <w:rPr>
                <w:rFonts w:asciiTheme="minorHAnsi" w:hAnsiTheme="minorHAnsi" w:cstheme="minorHAnsi"/>
                <w:b/>
                <w:szCs w:val="20"/>
              </w:rPr>
              <w:t xml:space="preserve">UNDP Social and Environmental Screening Category: </w:t>
            </w:r>
            <w:r w:rsidR="00F51464" w:rsidRPr="00AC0422">
              <w:rPr>
                <w:rFonts w:asciiTheme="minorHAnsi" w:hAnsiTheme="minorHAnsi" w:cstheme="minorHAnsi"/>
                <w:szCs w:val="20"/>
              </w:rPr>
              <w:t>MODERATE</w:t>
            </w:r>
          </w:p>
        </w:tc>
        <w:tc>
          <w:tcPr>
            <w:tcW w:w="4770" w:type="dxa"/>
            <w:gridSpan w:val="2"/>
            <w:shd w:val="clear" w:color="auto" w:fill="auto"/>
          </w:tcPr>
          <w:p w14:paraId="4CEA40B7" w14:textId="6B230CB1" w:rsidR="00744EA8" w:rsidRPr="00AC0422" w:rsidRDefault="00744EA8" w:rsidP="00744EA8">
            <w:pPr>
              <w:spacing w:after="240"/>
              <w:jc w:val="left"/>
              <w:rPr>
                <w:rFonts w:asciiTheme="minorHAnsi" w:hAnsiTheme="minorHAnsi" w:cstheme="minorHAnsi"/>
                <w:i/>
              </w:rPr>
            </w:pPr>
            <w:r w:rsidRPr="00AC0422">
              <w:rPr>
                <w:rFonts w:asciiTheme="minorHAnsi" w:hAnsiTheme="minorHAnsi" w:cstheme="minorHAnsi"/>
                <w:b/>
                <w:szCs w:val="20"/>
              </w:rPr>
              <w:t xml:space="preserve">UNDP Gender Marker: </w:t>
            </w:r>
            <w:r w:rsidR="00373767" w:rsidRPr="00AC0422">
              <w:rPr>
                <w:rFonts w:asciiTheme="minorHAnsi" w:hAnsiTheme="minorHAnsi" w:cstheme="minorHAnsi"/>
                <w:iCs/>
                <w:szCs w:val="20"/>
              </w:rPr>
              <w:t>GEN2</w:t>
            </w:r>
          </w:p>
        </w:tc>
      </w:tr>
      <w:tr w:rsidR="00744EA8" w:rsidRPr="00AC0422" w14:paraId="57A3A4A9" w14:textId="77777777" w:rsidTr="1F4856B4">
        <w:tc>
          <w:tcPr>
            <w:tcW w:w="4585" w:type="dxa"/>
            <w:gridSpan w:val="3"/>
            <w:shd w:val="clear" w:color="auto" w:fill="auto"/>
          </w:tcPr>
          <w:p w14:paraId="62724605" w14:textId="425B15DB" w:rsidR="00744EA8" w:rsidRPr="00AC0422" w:rsidRDefault="00807536" w:rsidP="00744EA8">
            <w:pPr>
              <w:spacing w:after="240"/>
              <w:jc w:val="left"/>
              <w:rPr>
                <w:rFonts w:asciiTheme="minorHAnsi" w:hAnsiTheme="minorHAnsi" w:cstheme="minorHAnsi"/>
                <w:szCs w:val="20"/>
                <w:lang w:eastAsia="zh-CN"/>
              </w:rPr>
            </w:pPr>
            <w:r w:rsidRPr="00AC0422">
              <w:rPr>
                <w:rFonts w:asciiTheme="minorHAnsi" w:hAnsiTheme="minorHAnsi" w:cstheme="minorHAnsi"/>
                <w:b/>
                <w:szCs w:val="20"/>
              </w:rPr>
              <w:t>Quantum</w:t>
            </w:r>
            <w:r w:rsidR="00744EA8" w:rsidRPr="00AC0422">
              <w:rPr>
                <w:rFonts w:asciiTheme="minorHAnsi" w:hAnsiTheme="minorHAnsi" w:cstheme="minorHAnsi"/>
                <w:b/>
                <w:szCs w:val="20"/>
              </w:rPr>
              <w:t xml:space="preserve"> </w:t>
            </w:r>
            <w:r w:rsidR="00744EA8" w:rsidRPr="00AC0422">
              <w:rPr>
                <w:rFonts w:asciiTheme="minorHAnsi" w:hAnsiTheme="minorHAnsi" w:cstheme="minorHAnsi"/>
                <w:b/>
                <w:szCs w:val="20"/>
                <w:lang w:eastAsia="zh-CN"/>
              </w:rPr>
              <w:t>Project ID</w:t>
            </w:r>
            <w:r w:rsidR="00744EA8" w:rsidRPr="00AC0422">
              <w:rPr>
                <w:rFonts w:asciiTheme="minorHAnsi" w:hAnsiTheme="minorHAnsi" w:cstheme="minorHAnsi"/>
                <w:b/>
                <w:szCs w:val="20"/>
              </w:rPr>
              <w:t xml:space="preserve">:  </w:t>
            </w:r>
            <w:r w:rsidR="00273C4A" w:rsidRPr="00AC0422">
              <w:rPr>
                <w:rFonts w:asciiTheme="minorHAnsi" w:hAnsiTheme="minorHAnsi" w:cstheme="minorHAnsi"/>
                <w:b/>
                <w:szCs w:val="20"/>
              </w:rPr>
              <w:t>01004504</w:t>
            </w:r>
          </w:p>
        </w:tc>
        <w:tc>
          <w:tcPr>
            <w:tcW w:w="4770" w:type="dxa"/>
            <w:gridSpan w:val="2"/>
            <w:shd w:val="clear" w:color="auto" w:fill="auto"/>
          </w:tcPr>
          <w:p w14:paraId="54F50A94" w14:textId="58B280FE" w:rsidR="00744EA8" w:rsidRPr="00AC0422" w:rsidRDefault="00807536" w:rsidP="00744EA8">
            <w:pPr>
              <w:spacing w:after="0"/>
              <w:jc w:val="left"/>
              <w:rPr>
                <w:rFonts w:asciiTheme="minorHAnsi" w:hAnsiTheme="minorHAnsi" w:cstheme="minorHAnsi"/>
                <w:b/>
                <w:szCs w:val="20"/>
              </w:rPr>
            </w:pPr>
            <w:r w:rsidRPr="00AC0422">
              <w:rPr>
                <w:rFonts w:asciiTheme="minorHAnsi" w:hAnsiTheme="minorHAnsi" w:cstheme="minorHAnsi"/>
                <w:b/>
                <w:szCs w:val="20"/>
              </w:rPr>
              <w:t>Quantum</w:t>
            </w:r>
            <w:r w:rsidR="00744EA8" w:rsidRPr="00AC0422">
              <w:rPr>
                <w:rFonts w:asciiTheme="minorHAnsi" w:hAnsiTheme="minorHAnsi" w:cstheme="minorHAnsi"/>
                <w:b/>
                <w:szCs w:val="20"/>
              </w:rPr>
              <w:t xml:space="preserve"> </w:t>
            </w:r>
            <w:r w:rsidR="001F16DE" w:rsidRPr="00AC0422">
              <w:rPr>
                <w:rFonts w:asciiTheme="minorHAnsi" w:hAnsiTheme="minorHAnsi" w:cstheme="minorHAnsi"/>
                <w:b/>
                <w:szCs w:val="20"/>
              </w:rPr>
              <w:t xml:space="preserve">Award </w:t>
            </w:r>
            <w:r w:rsidR="00744EA8" w:rsidRPr="00AC0422">
              <w:rPr>
                <w:rFonts w:asciiTheme="minorHAnsi" w:hAnsiTheme="minorHAnsi" w:cstheme="minorHAnsi"/>
                <w:b/>
                <w:szCs w:val="20"/>
                <w:lang w:eastAsia="zh-CN"/>
              </w:rPr>
              <w:t>ID</w:t>
            </w:r>
            <w:r w:rsidR="00744EA8" w:rsidRPr="00AC0422">
              <w:rPr>
                <w:rFonts w:asciiTheme="minorHAnsi" w:hAnsiTheme="minorHAnsi" w:cstheme="minorHAnsi"/>
                <w:b/>
                <w:szCs w:val="20"/>
              </w:rPr>
              <w:t xml:space="preserve">:  </w:t>
            </w:r>
            <w:r w:rsidR="00273C4A" w:rsidRPr="00AC0422">
              <w:rPr>
                <w:rFonts w:asciiTheme="minorHAnsi" w:hAnsiTheme="minorHAnsi" w:cstheme="minorHAnsi"/>
                <w:b/>
                <w:szCs w:val="20"/>
              </w:rPr>
              <w:t>1390392</w:t>
            </w:r>
          </w:p>
        </w:tc>
      </w:tr>
      <w:tr w:rsidR="00744EA8" w:rsidRPr="00AC0422" w14:paraId="1DF4F63F" w14:textId="77777777" w:rsidTr="1F4856B4">
        <w:tc>
          <w:tcPr>
            <w:tcW w:w="4585" w:type="dxa"/>
            <w:gridSpan w:val="3"/>
            <w:shd w:val="clear" w:color="auto" w:fill="auto"/>
          </w:tcPr>
          <w:p w14:paraId="3BF0B984" w14:textId="0497B465" w:rsidR="00744EA8" w:rsidRPr="00AC0422" w:rsidRDefault="00744EA8" w:rsidP="00744EA8">
            <w:pPr>
              <w:spacing w:after="240"/>
              <w:jc w:val="left"/>
              <w:rPr>
                <w:rFonts w:asciiTheme="minorHAnsi" w:hAnsiTheme="minorHAnsi" w:cstheme="minorHAnsi"/>
                <w:b/>
                <w:szCs w:val="20"/>
              </w:rPr>
            </w:pPr>
            <w:r w:rsidRPr="00AC0422">
              <w:rPr>
                <w:rFonts w:asciiTheme="minorHAnsi" w:hAnsiTheme="minorHAnsi" w:cstheme="minorHAnsi"/>
                <w:b/>
                <w:szCs w:val="20"/>
              </w:rPr>
              <w:t xml:space="preserve">UNDP- PIMS ID number:  </w:t>
            </w:r>
            <w:r w:rsidR="00273C4A" w:rsidRPr="00AC0422">
              <w:rPr>
                <w:rFonts w:asciiTheme="minorHAnsi" w:hAnsiTheme="minorHAnsi" w:cstheme="minorHAnsi"/>
                <w:b/>
                <w:szCs w:val="20"/>
              </w:rPr>
              <w:t>10103</w:t>
            </w:r>
          </w:p>
        </w:tc>
        <w:tc>
          <w:tcPr>
            <w:tcW w:w="4770" w:type="dxa"/>
            <w:gridSpan w:val="2"/>
            <w:shd w:val="clear" w:color="auto" w:fill="auto"/>
          </w:tcPr>
          <w:p w14:paraId="1D09D9CB" w14:textId="715658F5" w:rsidR="00744EA8" w:rsidRPr="00AC0422" w:rsidRDefault="00744EA8" w:rsidP="00744EA8">
            <w:pPr>
              <w:spacing w:after="240"/>
              <w:jc w:val="left"/>
              <w:rPr>
                <w:rFonts w:asciiTheme="minorHAnsi" w:hAnsiTheme="minorHAnsi" w:cstheme="minorHAnsi"/>
                <w:b/>
                <w:szCs w:val="20"/>
              </w:rPr>
            </w:pPr>
            <w:r w:rsidRPr="00AC0422">
              <w:rPr>
                <w:rFonts w:asciiTheme="minorHAnsi" w:hAnsiTheme="minorHAnsi" w:cstheme="minorHAnsi"/>
                <w:b/>
                <w:szCs w:val="20"/>
              </w:rPr>
              <w:t>GCF ID number:</w:t>
            </w:r>
            <w:r w:rsidR="001F16DE" w:rsidRPr="00AC0422">
              <w:rPr>
                <w:rFonts w:asciiTheme="minorHAnsi" w:hAnsiTheme="minorHAnsi" w:cstheme="minorHAnsi"/>
                <w:b/>
                <w:szCs w:val="20"/>
              </w:rPr>
              <w:t xml:space="preserve"> </w:t>
            </w:r>
            <w:r w:rsidR="00273C4A" w:rsidRPr="00AC0422">
              <w:rPr>
                <w:rFonts w:asciiTheme="minorHAnsi" w:hAnsiTheme="minorHAnsi" w:cstheme="minorHAnsi"/>
                <w:b/>
                <w:szCs w:val="20"/>
              </w:rPr>
              <w:t>YEM-RS-006</w:t>
            </w:r>
          </w:p>
        </w:tc>
      </w:tr>
      <w:tr w:rsidR="00744EA8" w:rsidRPr="00AC0422" w14:paraId="621CFD58" w14:textId="77777777" w:rsidTr="00BA7C00">
        <w:trPr>
          <w:trHeight w:val="536"/>
        </w:trPr>
        <w:tc>
          <w:tcPr>
            <w:tcW w:w="4585" w:type="dxa"/>
            <w:gridSpan w:val="3"/>
            <w:shd w:val="clear" w:color="auto" w:fill="auto"/>
          </w:tcPr>
          <w:p w14:paraId="0E8D0A02" w14:textId="314BAD4E" w:rsidR="00E932E9" w:rsidRPr="00AC0422" w:rsidRDefault="00744EA8" w:rsidP="79E63765">
            <w:pPr>
              <w:spacing w:after="240"/>
              <w:jc w:val="left"/>
              <w:rPr>
                <w:rFonts w:asciiTheme="minorHAnsi" w:hAnsiTheme="minorHAnsi" w:cstheme="minorHAnsi"/>
                <w:b/>
                <w:bCs/>
                <w:i/>
                <w:iCs/>
                <w:highlight w:val="cyan"/>
              </w:rPr>
            </w:pPr>
            <w:r w:rsidRPr="00AC0422">
              <w:rPr>
                <w:rFonts w:asciiTheme="minorHAnsi" w:hAnsiTheme="minorHAnsi" w:cstheme="minorHAnsi"/>
                <w:b/>
                <w:bCs/>
              </w:rPr>
              <w:t>Planned start date:</w:t>
            </w:r>
            <w:r w:rsidR="6701F282" w:rsidRPr="00AC0422">
              <w:rPr>
                <w:rFonts w:asciiTheme="minorHAnsi" w:hAnsiTheme="minorHAnsi" w:cstheme="minorHAnsi"/>
                <w:b/>
                <w:bCs/>
              </w:rPr>
              <w:t xml:space="preserve"> </w:t>
            </w:r>
            <w:r w:rsidR="00273C4A" w:rsidRPr="00AC0422">
              <w:rPr>
                <w:rFonts w:asciiTheme="minorHAnsi" w:hAnsiTheme="minorHAnsi" w:cstheme="minorHAnsi"/>
                <w:szCs w:val="20"/>
              </w:rPr>
              <w:t>22 April</w:t>
            </w:r>
            <w:r w:rsidR="001F16DE" w:rsidRPr="00AC0422">
              <w:rPr>
                <w:rFonts w:asciiTheme="minorHAnsi" w:hAnsiTheme="minorHAnsi" w:cstheme="minorHAnsi"/>
                <w:szCs w:val="20"/>
              </w:rPr>
              <w:t xml:space="preserve"> 202</w:t>
            </w:r>
            <w:r w:rsidR="00273C4A" w:rsidRPr="00AC0422">
              <w:rPr>
                <w:rFonts w:asciiTheme="minorHAnsi" w:hAnsiTheme="minorHAnsi" w:cstheme="minorHAnsi"/>
                <w:szCs w:val="20"/>
              </w:rPr>
              <w:t>5</w:t>
            </w:r>
            <w:r w:rsidR="6701F282" w:rsidRPr="00AC0422">
              <w:rPr>
                <w:rFonts w:asciiTheme="minorHAnsi" w:hAnsiTheme="minorHAnsi" w:cstheme="minorHAnsi"/>
                <w:szCs w:val="20"/>
              </w:rPr>
              <w:t xml:space="preserve"> </w:t>
            </w:r>
          </w:p>
        </w:tc>
        <w:tc>
          <w:tcPr>
            <w:tcW w:w="4770" w:type="dxa"/>
            <w:gridSpan w:val="2"/>
            <w:shd w:val="clear" w:color="auto" w:fill="auto"/>
          </w:tcPr>
          <w:p w14:paraId="53C5B0D0" w14:textId="752E2506" w:rsidR="00744EA8" w:rsidRPr="00AC0422" w:rsidRDefault="7F2FCDA3" w:rsidP="00BA7C00">
            <w:pPr>
              <w:spacing w:after="240"/>
              <w:jc w:val="left"/>
              <w:rPr>
                <w:rFonts w:asciiTheme="minorHAnsi" w:eastAsia="Calibri" w:hAnsiTheme="minorHAnsi" w:cstheme="minorHAnsi"/>
                <w:i/>
                <w:iCs/>
                <w:color w:val="FF0000"/>
              </w:rPr>
            </w:pPr>
            <w:r w:rsidRPr="00AC0422">
              <w:rPr>
                <w:rFonts w:asciiTheme="minorHAnsi" w:hAnsiTheme="minorHAnsi" w:cstheme="minorHAnsi"/>
                <w:b/>
                <w:bCs/>
              </w:rPr>
              <w:t xml:space="preserve">Planned end date: </w:t>
            </w:r>
            <w:r w:rsidR="09A677DE" w:rsidRPr="00AC0422">
              <w:rPr>
                <w:rFonts w:asciiTheme="minorHAnsi" w:hAnsiTheme="minorHAnsi" w:cstheme="minorHAnsi"/>
                <w:b/>
                <w:bCs/>
              </w:rPr>
              <w:t xml:space="preserve"> </w:t>
            </w:r>
            <w:r w:rsidR="00AC0422" w:rsidRPr="00AC0422">
              <w:rPr>
                <w:rFonts w:asciiTheme="minorHAnsi" w:hAnsiTheme="minorHAnsi" w:cstheme="minorHAnsi"/>
              </w:rPr>
              <w:t>22 July 2029</w:t>
            </w:r>
            <w:r w:rsidR="00AC0422" w:rsidRPr="00AC0422">
              <w:rPr>
                <w:rFonts w:asciiTheme="minorHAnsi" w:eastAsia="Calibri" w:hAnsiTheme="minorHAnsi" w:cstheme="minorHAnsi"/>
                <w:i/>
                <w:iCs/>
              </w:rPr>
              <w:t xml:space="preserve"> </w:t>
            </w:r>
            <w:r w:rsidR="001F16DE" w:rsidRPr="00AC0422">
              <w:rPr>
                <w:rFonts w:asciiTheme="minorHAnsi" w:eastAsia="Calibri" w:hAnsiTheme="minorHAnsi" w:cstheme="minorHAnsi"/>
                <w:i/>
                <w:iCs/>
              </w:rPr>
              <w:t>(with an additional grace period of three months)</w:t>
            </w:r>
          </w:p>
        </w:tc>
      </w:tr>
      <w:tr w:rsidR="00744EA8" w:rsidRPr="00AC0422" w14:paraId="55F4B41B" w14:textId="77777777" w:rsidTr="1F4856B4">
        <w:tc>
          <w:tcPr>
            <w:tcW w:w="9355" w:type="dxa"/>
            <w:gridSpan w:val="5"/>
            <w:shd w:val="clear" w:color="auto" w:fill="auto"/>
          </w:tcPr>
          <w:p w14:paraId="03BF1E29" w14:textId="62DED08F" w:rsidR="00744EA8" w:rsidRPr="00AC0422" w:rsidRDefault="00744EA8" w:rsidP="00744EA8">
            <w:pPr>
              <w:spacing w:after="240"/>
              <w:jc w:val="left"/>
              <w:rPr>
                <w:rFonts w:asciiTheme="minorHAnsi" w:hAnsiTheme="minorHAnsi" w:cstheme="minorHAnsi"/>
                <w:b/>
                <w:szCs w:val="20"/>
              </w:rPr>
            </w:pPr>
            <w:r w:rsidRPr="00AC0422">
              <w:rPr>
                <w:rFonts w:asciiTheme="minorHAnsi" w:hAnsiTheme="minorHAnsi" w:cstheme="minorHAnsi"/>
                <w:b/>
                <w:szCs w:val="20"/>
              </w:rPr>
              <w:t xml:space="preserve">PAC meeting date: </w:t>
            </w:r>
            <w:r w:rsidR="004A4063" w:rsidRPr="00AC0422">
              <w:rPr>
                <w:rFonts w:asciiTheme="minorHAnsi" w:hAnsiTheme="minorHAnsi" w:cstheme="minorHAnsi"/>
                <w:iCs/>
                <w:szCs w:val="20"/>
              </w:rPr>
              <w:t>TBD</w:t>
            </w:r>
          </w:p>
        </w:tc>
      </w:tr>
      <w:tr w:rsidR="00AC0422" w:rsidRPr="00AC0422" w14:paraId="1D08B1B5" w14:textId="77777777" w:rsidTr="1F4856B4">
        <w:tc>
          <w:tcPr>
            <w:tcW w:w="9355" w:type="dxa"/>
            <w:gridSpan w:val="5"/>
            <w:shd w:val="clear" w:color="auto" w:fill="auto"/>
          </w:tcPr>
          <w:p w14:paraId="0A65D672" w14:textId="77777777" w:rsidR="00AC0422" w:rsidRPr="00AC0422" w:rsidRDefault="00AC0422" w:rsidP="00AC0422">
            <w:pPr>
              <w:spacing w:after="240"/>
              <w:jc w:val="left"/>
              <w:rPr>
                <w:rFonts w:asciiTheme="minorHAnsi" w:hAnsiTheme="minorHAnsi" w:cstheme="minorHAnsi"/>
                <w:i/>
                <w:szCs w:val="20"/>
              </w:rPr>
            </w:pPr>
            <w:r w:rsidRPr="00AC0422">
              <w:rPr>
                <w:rFonts w:asciiTheme="minorHAnsi" w:hAnsiTheme="minorHAnsi" w:cstheme="minorHAnsi"/>
                <w:b/>
                <w:szCs w:val="20"/>
              </w:rPr>
              <w:t xml:space="preserve">Brief project description: </w:t>
            </w:r>
            <w:r w:rsidRPr="00AC0422">
              <w:rPr>
                <w:rFonts w:asciiTheme="minorHAnsi" w:hAnsiTheme="minorHAnsi" w:cstheme="minorHAnsi"/>
                <w:szCs w:val="20"/>
              </w:rPr>
              <w:t>The project will establish the NAP process in Yemen and strengthen the institutional coordination, policy, technical and financial framework capacities in key sectors with conflict sensitive approaches for adaptation planning.  The project will build technical capacity through access to climate risk and vulnerability information which includes conflict analysis, establish the NAP platform for information sharing, awareness raising and knowledge management, establish systems and capacity for effective adaptation monitoring and evaluation, develop a cross-sectoral climate finance strategy, and clearly articulate adaptation priorities by developing a set of concept notes to mobilize climate finance. The implementation of the NAP process in Yemen will ensure that vulnerable communities, including women, children, and marginalized groups, are empowered to build resilience to climate change impacts.</w:t>
            </w:r>
          </w:p>
          <w:p w14:paraId="7FE09A71" w14:textId="77777777" w:rsidR="00AC0422" w:rsidRPr="00AC0422" w:rsidRDefault="00AC0422" w:rsidP="00AC0422">
            <w:pPr>
              <w:spacing w:after="240"/>
              <w:jc w:val="left"/>
              <w:rPr>
                <w:rFonts w:asciiTheme="minorHAnsi" w:hAnsiTheme="minorHAnsi" w:cstheme="minorHAnsi"/>
                <w:b/>
                <w:szCs w:val="20"/>
              </w:rPr>
            </w:pPr>
          </w:p>
          <w:p w14:paraId="51253FAD" w14:textId="2632EAC9" w:rsidR="00AC0422" w:rsidRPr="00AC0422" w:rsidRDefault="00AC0422" w:rsidP="00AC0422">
            <w:pPr>
              <w:spacing w:after="240"/>
              <w:rPr>
                <w:rFonts w:asciiTheme="minorHAnsi" w:hAnsiTheme="minorHAnsi" w:cstheme="minorHAnsi"/>
                <w:b/>
                <w:szCs w:val="20"/>
              </w:rPr>
            </w:pPr>
          </w:p>
        </w:tc>
      </w:tr>
      <w:tr w:rsidR="00744EA8" w:rsidRPr="00AC0422" w14:paraId="28A6FA5D" w14:textId="77777777" w:rsidTr="1F4856B4">
        <w:trPr>
          <w:trHeight w:val="377"/>
        </w:trPr>
        <w:tc>
          <w:tcPr>
            <w:tcW w:w="9355" w:type="dxa"/>
            <w:gridSpan w:val="5"/>
            <w:shd w:val="clear" w:color="auto" w:fill="D9D9D9" w:themeFill="background1" w:themeFillShade="D9"/>
          </w:tcPr>
          <w:p w14:paraId="719628C5" w14:textId="345ACD83" w:rsidR="00744EA8" w:rsidRPr="00AC0422" w:rsidRDefault="00744EA8" w:rsidP="00744EA8">
            <w:pPr>
              <w:spacing w:after="240"/>
              <w:jc w:val="left"/>
              <w:rPr>
                <w:rFonts w:asciiTheme="minorHAnsi" w:hAnsiTheme="minorHAnsi" w:cstheme="minorHAnsi"/>
                <w:b/>
                <w:smallCaps/>
                <w:szCs w:val="20"/>
              </w:rPr>
            </w:pPr>
            <w:r w:rsidRPr="00AC0422">
              <w:rPr>
                <w:rFonts w:asciiTheme="minorHAnsi" w:hAnsiTheme="minorHAnsi" w:cstheme="minorHAnsi"/>
                <w:b/>
                <w:smallCaps/>
                <w:szCs w:val="20"/>
              </w:rPr>
              <w:t xml:space="preserve">Financing Plan </w:t>
            </w:r>
          </w:p>
        </w:tc>
      </w:tr>
      <w:tr w:rsidR="00744EA8" w:rsidRPr="00AC0422" w14:paraId="635C43EE" w14:textId="77777777" w:rsidTr="1F4856B4">
        <w:tc>
          <w:tcPr>
            <w:tcW w:w="4585" w:type="dxa"/>
            <w:gridSpan w:val="3"/>
            <w:shd w:val="clear" w:color="auto" w:fill="auto"/>
          </w:tcPr>
          <w:p w14:paraId="28DF91BC" w14:textId="6839768B" w:rsidR="00744EA8" w:rsidRPr="00AC0422" w:rsidRDefault="00744EA8" w:rsidP="79E63765">
            <w:pPr>
              <w:spacing w:after="240"/>
              <w:jc w:val="left"/>
              <w:rPr>
                <w:rFonts w:asciiTheme="minorHAnsi" w:hAnsiTheme="minorHAnsi" w:cstheme="minorHAnsi"/>
                <w:highlight w:val="cyan"/>
              </w:rPr>
            </w:pPr>
            <w:r w:rsidRPr="00AC0422">
              <w:rPr>
                <w:rFonts w:asciiTheme="minorHAnsi" w:hAnsiTheme="minorHAnsi" w:cstheme="minorHAnsi"/>
              </w:rPr>
              <w:lastRenderedPageBreak/>
              <w:t xml:space="preserve">GCF grant </w:t>
            </w:r>
          </w:p>
        </w:tc>
        <w:tc>
          <w:tcPr>
            <w:tcW w:w="4770" w:type="dxa"/>
            <w:gridSpan w:val="2"/>
            <w:shd w:val="clear" w:color="auto" w:fill="auto"/>
          </w:tcPr>
          <w:p w14:paraId="23E6ABDF" w14:textId="33E97406" w:rsidR="00744EA8" w:rsidRPr="00AC0422" w:rsidRDefault="00744EA8" w:rsidP="79E63765">
            <w:pPr>
              <w:spacing w:after="240"/>
              <w:jc w:val="left"/>
              <w:rPr>
                <w:rFonts w:asciiTheme="minorHAnsi" w:hAnsiTheme="minorHAnsi" w:cstheme="minorHAnsi"/>
              </w:rPr>
            </w:pPr>
            <w:r w:rsidRPr="00AC0422">
              <w:rPr>
                <w:rFonts w:asciiTheme="minorHAnsi" w:hAnsiTheme="minorHAnsi" w:cstheme="minorHAnsi"/>
              </w:rPr>
              <w:t>USD</w:t>
            </w:r>
            <w:r w:rsidR="001F16DE" w:rsidRPr="00AC0422">
              <w:rPr>
                <w:rFonts w:asciiTheme="minorHAnsi" w:hAnsiTheme="minorHAnsi" w:cstheme="minorHAnsi"/>
              </w:rPr>
              <w:t xml:space="preserve"> </w:t>
            </w:r>
            <w:r w:rsidR="00663BED" w:rsidRPr="00AC0422">
              <w:rPr>
                <w:rFonts w:asciiTheme="minorHAnsi" w:hAnsiTheme="minorHAnsi" w:cstheme="minorHAnsi"/>
              </w:rPr>
              <w:t>2,672,800.00 (without DP Fees)</w:t>
            </w:r>
          </w:p>
        </w:tc>
      </w:tr>
      <w:tr w:rsidR="00744EA8" w:rsidRPr="00AC0422" w14:paraId="58EE269A" w14:textId="77777777" w:rsidTr="1F4856B4">
        <w:tc>
          <w:tcPr>
            <w:tcW w:w="4585" w:type="dxa"/>
            <w:gridSpan w:val="3"/>
            <w:shd w:val="clear" w:color="auto" w:fill="auto"/>
          </w:tcPr>
          <w:p w14:paraId="7CB4539D" w14:textId="77777777" w:rsidR="00744EA8" w:rsidRPr="00AC0422" w:rsidRDefault="00744EA8" w:rsidP="00663BED">
            <w:pPr>
              <w:pStyle w:val="ListParagraph"/>
              <w:numPr>
                <w:ilvl w:val="0"/>
                <w:numId w:val="5"/>
              </w:numPr>
              <w:spacing w:after="240"/>
              <w:rPr>
                <w:rFonts w:asciiTheme="minorHAnsi" w:hAnsiTheme="minorHAnsi" w:cstheme="minorHAnsi"/>
                <w:b/>
                <w:sz w:val="20"/>
                <w:szCs w:val="20"/>
              </w:rPr>
            </w:pPr>
            <w:r w:rsidRPr="00AC0422">
              <w:rPr>
                <w:rFonts w:asciiTheme="minorHAnsi" w:hAnsiTheme="minorHAnsi" w:cstheme="minorHAnsi"/>
                <w:b/>
                <w:sz w:val="20"/>
                <w:szCs w:val="20"/>
                <w:lang w:eastAsia="zh-CN"/>
              </w:rPr>
              <w:t xml:space="preserve">Total </w:t>
            </w:r>
            <w:r w:rsidRPr="00AC0422">
              <w:rPr>
                <w:rFonts w:asciiTheme="minorHAnsi" w:hAnsiTheme="minorHAnsi" w:cstheme="minorHAnsi"/>
                <w:b/>
                <w:sz w:val="20"/>
                <w:szCs w:val="20"/>
              </w:rPr>
              <w:t xml:space="preserve">Budget administered by UNDP </w:t>
            </w:r>
          </w:p>
        </w:tc>
        <w:tc>
          <w:tcPr>
            <w:tcW w:w="4770" w:type="dxa"/>
            <w:gridSpan w:val="2"/>
            <w:shd w:val="clear" w:color="auto" w:fill="auto"/>
          </w:tcPr>
          <w:p w14:paraId="2CF89EBB" w14:textId="7D620918" w:rsidR="00744EA8" w:rsidRPr="00AC0422" w:rsidRDefault="00663BED" w:rsidP="79E63765">
            <w:pPr>
              <w:spacing w:after="240"/>
              <w:jc w:val="left"/>
              <w:rPr>
                <w:rFonts w:asciiTheme="minorHAnsi" w:hAnsiTheme="minorHAnsi" w:cstheme="minorHAnsi"/>
              </w:rPr>
            </w:pPr>
            <w:r w:rsidRPr="00AC0422">
              <w:rPr>
                <w:rFonts w:asciiTheme="minorHAnsi" w:hAnsiTheme="minorHAnsi" w:cstheme="minorHAnsi"/>
                <w:b/>
                <w:bCs/>
              </w:rPr>
              <w:t>USD 2,672,800.00 (without DP Fees)</w:t>
            </w:r>
          </w:p>
        </w:tc>
      </w:tr>
      <w:tr w:rsidR="00744EA8" w:rsidRPr="00AC0422" w14:paraId="6C5E7D87" w14:textId="77777777" w:rsidTr="1F4856B4">
        <w:tc>
          <w:tcPr>
            <w:tcW w:w="9355" w:type="dxa"/>
            <w:gridSpan w:val="5"/>
            <w:shd w:val="clear" w:color="auto" w:fill="BFBFBF" w:themeFill="background1" w:themeFillShade="BF"/>
          </w:tcPr>
          <w:p w14:paraId="5DA70B04" w14:textId="77777777" w:rsidR="00744EA8" w:rsidRPr="00AC0422" w:rsidRDefault="00744EA8" w:rsidP="00744EA8">
            <w:pPr>
              <w:spacing w:after="240"/>
              <w:jc w:val="left"/>
              <w:rPr>
                <w:rFonts w:asciiTheme="minorHAnsi" w:hAnsiTheme="minorHAnsi" w:cstheme="minorHAnsi"/>
                <w:b/>
                <w:smallCaps/>
                <w:szCs w:val="20"/>
              </w:rPr>
            </w:pPr>
            <w:r w:rsidRPr="00AC0422">
              <w:rPr>
                <w:rFonts w:asciiTheme="minorHAnsi" w:hAnsiTheme="minorHAnsi" w:cstheme="minorHAnsi"/>
                <w:b/>
                <w:smallCaps/>
                <w:szCs w:val="20"/>
              </w:rPr>
              <w:t>Signatures</w:t>
            </w:r>
          </w:p>
        </w:tc>
      </w:tr>
      <w:tr w:rsidR="00744EA8" w:rsidRPr="00AC0422" w14:paraId="7C55286E" w14:textId="77777777" w:rsidTr="1F4856B4">
        <w:tc>
          <w:tcPr>
            <w:tcW w:w="4135" w:type="dxa"/>
            <w:shd w:val="clear" w:color="auto" w:fill="auto"/>
          </w:tcPr>
          <w:p w14:paraId="49121B21" w14:textId="588EB121" w:rsidR="00744EA8" w:rsidRPr="00AC0422" w:rsidRDefault="00744EA8" w:rsidP="00744EA8">
            <w:pPr>
              <w:spacing w:after="240"/>
              <w:jc w:val="left"/>
              <w:rPr>
                <w:rFonts w:asciiTheme="minorHAnsi" w:hAnsiTheme="minorHAnsi" w:cstheme="minorHAnsi"/>
                <w:b/>
                <w:szCs w:val="20"/>
              </w:rPr>
            </w:pPr>
            <w:r w:rsidRPr="00AC0422">
              <w:rPr>
                <w:rFonts w:asciiTheme="minorHAnsi" w:hAnsiTheme="minorHAnsi" w:cstheme="minorHAnsi"/>
                <w:b/>
                <w:szCs w:val="20"/>
              </w:rPr>
              <w:t xml:space="preserve">Signature:  </w:t>
            </w:r>
          </w:p>
          <w:p w14:paraId="5C5E14DD" w14:textId="77777777" w:rsidR="00277389" w:rsidRPr="00AC0422" w:rsidRDefault="00277389" w:rsidP="00744EA8">
            <w:pPr>
              <w:spacing w:after="240"/>
              <w:jc w:val="left"/>
              <w:rPr>
                <w:rFonts w:asciiTheme="minorHAnsi" w:hAnsiTheme="minorHAnsi" w:cstheme="minorHAnsi"/>
                <w:szCs w:val="20"/>
              </w:rPr>
            </w:pPr>
          </w:p>
          <w:p w14:paraId="7729978B" w14:textId="77777777" w:rsidR="00A6480A" w:rsidRPr="00AC0422" w:rsidRDefault="00A6480A" w:rsidP="00A6480A">
            <w:pPr>
              <w:spacing w:after="0"/>
              <w:jc w:val="left"/>
              <w:rPr>
                <w:rFonts w:asciiTheme="minorHAnsi" w:hAnsiTheme="minorHAnsi" w:cstheme="minorHAnsi"/>
                <w:szCs w:val="20"/>
              </w:rPr>
            </w:pPr>
            <w:r w:rsidRPr="00AC0422">
              <w:rPr>
                <w:rFonts w:asciiTheme="minorHAnsi" w:hAnsiTheme="minorHAnsi" w:cstheme="minorHAnsi"/>
                <w:szCs w:val="20"/>
              </w:rPr>
              <w:t>Zena Ali Ahmad</w:t>
            </w:r>
          </w:p>
          <w:p w14:paraId="11A797A6" w14:textId="77777777" w:rsidR="00A6480A" w:rsidRPr="00AC0422" w:rsidRDefault="00A6480A" w:rsidP="00A6480A">
            <w:pPr>
              <w:spacing w:after="0"/>
              <w:jc w:val="left"/>
              <w:rPr>
                <w:rFonts w:asciiTheme="minorHAnsi" w:hAnsiTheme="minorHAnsi" w:cstheme="minorHAnsi"/>
                <w:szCs w:val="20"/>
              </w:rPr>
            </w:pPr>
            <w:r w:rsidRPr="00AC0422">
              <w:rPr>
                <w:rFonts w:asciiTheme="minorHAnsi" w:hAnsiTheme="minorHAnsi" w:cstheme="minorHAnsi"/>
                <w:szCs w:val="20"/>
              </w:rPr>
              <w:t xml:space="preserve">Resident Representative </w:t>
            </w:r>
          </w:p>
          <w:p w14:paraId="56A7AEFB" w14:textId="65718136" w:rsidR="00744EA8" w:rsidRPr="00AC0422" w:rsidRDefault="00A6480A" w:rsidP="00A6480A">
            <w:pPr>
              <w:spacing w:after="0"/>
              <w:jc w:val="left"/>
              <w:rPr>
                <w:rFonts w:asciiTheme="minorHAnsi" w:hAnsiTheme="minorHAnsi" w:cstheme="minorHAnsi"/>
                <w:szCs w:val="20"/>
              </w:rPr>
            </w:pPr>
            <w:r w:rsidRPr="00AC0422">
              <w:rPr>
                <w:rFonts w:asciiTheme="minorHAnsi" w:hAnsiTheme="minorHAnsi" w:cstheme="minorHAnsi"/>
                <w:szCs w:val="20"/>
              </w:rPr>
              <w:t>UNDP Yemen</w:t>
            </w:r>
          </w:p>
        </w:tc>
        <w:tc>
          <w:tcPr>
            <w:tcW w:w="1620" w:type="dxa"/>
            <w:gridSpan w:val="3"/>
            <w:shd w:val="clear" w:color="auto" w:fill="auto"/>
          </w:tcPr>
          <w:p w14:paraId="79F0C5E5" w14:textId="50E69BA3" w:rsidR="00744EA8" w:rsidRPr="00AC0422" w:rsidRDefault="00744EA8" w:rsidP="00744EA8">
            <w:pPr>
              <w:spacing w:after="240"/>
              <w:jc w:val="left"/>
              <w:rPr>
                <w:rFonts w:asciiTheme="minorHAnsi" w:hAnsiTheme="minorHAnsi" w:cstheme="minorHAnsi"/>
                <w:b/>
                <w:szCs w:val="20"/>
              </w:rPr>
            </w:pPr>
            <w:r w:rsidRPr="00AC0422">
              <w:rPr>
                <w:rFonts w:asciiTheme="minorHAnsi" w:hAnsiTheme="minorHAnsi" w:cstheme="minorHAnsi"/>
                <w:b/>
                <w:szCs w:val="20"/>
              </w:rPr>
              <w:t>Agreed by UNDP</w:t>
            </w:r>
          </w:p>
        </w:tc>
        <w:tc>
          <w:tcPr>
            <w:tcW w:w="3600" w:type="dxa"/>
            <w:shd w:val="clear" w:color="auto" w:fill="auto"/>
          </w:tcPr>
          <w:p w14:paraId="24E4E5EB" w14:textId="42925EF7" w:rsidR="00744EA8" w:rsidRPr="00AC0422" w:rsidRDefault="00744EA8" w:rsidP="00744EA8">
            <w:pPr>
              <w:spacing w:after="240"/>
              <w:jc w:val="left"/>
              <w:rPr>
                <w:rFonts w:asciiTheme="minorHAnsi" w:hAnsiTheme="minorHAnsi" w:cstheme="minorHAnsi"/>
                <w:b/>
                <w:szCs w:val="20"/>
              </w:rPr>
            </w:pPr>
            <w:r w:rsidRPr="00AC0422">
              <w:rPr>
                <w:rFonts w:asciiTheme="minorHAnsi" w:hAnsiTheme="minorHAnsi" w:cstheme="minorHAnsi"/>
                <w:b/>
                <w:szCs w:val="20"/>
              </w:rPr>
              <w:t>Date/Month/Year:</w:t>
            </w:r>
            <w:r w:rsidRPr="00AC0422">
              <w:rPr>
                <w:rFonts w:asciiTheme="minorHAnsi" w:hAnsiTheme="minorHAnsi" w:cstheme="minorHAnsi"/>
                <w:szCs w:val="20"/>
              </w:rPr>
              <w:t xml:space="preserve"> </w:t>
            </w:r>
          </w:p>
        </w:tc>
      </w:tr>
    </w:tbl>
    <w:p w14:paraId="70A64F58" w14:textId="77777777" w:rsidR="008968AE" w:rsidRPr="00AC0422" w:rsidRDefault="008968AE" w:rsidP="00235AE4">
      <w:pPr>
        <w:spacing w:after="240"/>
        <w:jc w:val="left"/>
        <w:rPr>
          <w:rFonts w:asciiTheme="minorHAnsi" w:hAnsiTheme="minorHAnsi" w:cstheme="minorHAnsi"/>
          <w:b/>
          <w:szCs w:val="20"/>
        </w:rPr>
      </w:pPr>
    </w:p>
    <w:p w14:paraId="2A059812" w14:textId="63B6272C" w:rsidR="00744EA8" w:rsidRPr="00AC0422" w:rsidRDefault="00744EA8" w:rsidP="00744EA8">
      <w:pPr>
        <w:rPr>
          <w:rFonts w:asciiTheme="minorHAnsi" w:hAnsiTheme="minorHAnsi" w:cstheme="minorHAnsi"/>
        </w:rPr>
      </w:pPr>
      <w:r w:rsidRPr="00AC0422">
        <w:rPr>
          <w:rFonts w:asciiTheme="minorHAnsi" w:hAnsiTheme="minorHAnsi" w:cstheme="minorHAnsi"/>
          <w:b/>
        </w:rPr>
        <w:t>Disbursement</w:t>
      </w:r>
      <w:r w:rsidRPr="00AC0422">
        <w:rPr>
          <w:rFonts w:asciiTheme="minorHAnsi" w:hAnsiTheme="minorHAnsi" w:cstheme="minorHAnsi"/>
        </w:rPr>
        <w:t>: The UNDP CO is aware of the conditions of disbursement ascribed to the first and subsequent tranches of the GCF funding as specified in the F</w:t>
      </w:r>
      <w:r w:rsidR="002D620B" w:rsidRPr="00AC0422">
        <w:rPr>
          <w:rFonts w:asciiTheme="minorHAnsi" w:hAnsiTheme="minorHAnsi" w:cstheme="minorHAnsi"/>
        </w:rPr>
        <w:t>W</w:t>
      </w:r>
      <w:r w:rsidRPr="00AC0422">
        <w:rPr>
          <w:rFonts w:asciiTheme="minorHAnsi" w:hAnsiTheme="minorHAnsi" w:cstheme="minorHAnsi"/>
        </w:rPr>
        <w:t xml:space="preserve">A (and </w:t>
      </w:r>
      <w:proofErr w:type="gramStart"/>
      <w:r w:rsidRPr="00AC0422">
        <w:rPr>
          <w:rFonts w:asciiTheme="minorHAnsi" w:hAnsiTheme="minorHAnsi" w:cstheme="minorHAnsi"/>
        </w:rPr>
        <w:t>in particular Clause</w:t>
      </w:r>
      <w:proofErr w:type="gramEnd"/>
      <w:r w:rsidRPr="00AC0422">
        <w:rPr>
          <w:rFonts w:asciiTheme="minorHAnsi" w:hAnsiTheme="minorHAnsi" w:cstheme="minorHAnsi"/>
        </w:rPr>
        <w:t xml:space="preserve"> 4 of the F</w:t>
      </w:r>
      <w:r w:rsidR="002D620B" w:rsidRPr="00AC0422">
        <w:rPr>
          <w:rFonts w:asciiTheme="minorHAnsi" w:hAnsiTheme="minorHAnsi" w:cstheme="minorHAnsi"/>
        </w:rPr>
        <w:t>W</w:t>
      </w:r>
      <w:r w:rsidRPr="00AC0422">
        <w:rPr>
          <w:rFonts w:asciiTheme="minorHAnsi" w:hAnsiTheme="minorHAnsi" w:cstheme="minorHAnsi"/>
        </w:rPr>
        <w:t>A). To the extent that these obligations reflect actions of UNDP, UNDP must ensure that the conditions are met and there is continuing compliance, as well as understanding that availability of GCF funding is contingent on meeting all conditions listed in the F</w:t>
      </w:r>
      <w:r w:rsidR="008D0566" w:rsidRPr="00AC0422">
        <w:rPr>
          <w:rFonts w:asciiTheme="minorHAnsi" w:hAnsiTheme="minorHAnsi" w:cstheme="minorHAnsi"/>
        </w:rPr>
        <w:t>W</w:t>
      </w:r>
      <w:r w:rsidRPr="00AC0422">
        <w:rPr>
          <w:rFonts w:asciiTheme="minorHAnsi" w:hAnsiTheme="minorHAnsi" w:cstheme="minorHAnsi"/>
        </w:rPr>
        <w:t>A.</w:t>
      </w:r>
    </w:p>
    <w:p w14:paraId="031C5B0B" w14:textId="77777777" w:rsidR="008968AE" w:rsidRPr="00AC0422" w:rsidRDefault="008968AE">
      <w:pPr>
        <w:spacing w:after="0"/>
        <w:jc w:val="left"/>
        <w:rPr>
          <w:rFonts w:asciiTheme="minorHAnsi" w:hAnsiTheme="minorHAnsi" w:cstheme="minorHAnsi"/>
          <w:szCs w:val="20"/>
        </w:rPr>
      </w:pPr>
      <w:r w:rsidRPr="00AC0422">
        <w:rPr>
          <w:rFonts w:asciiTheme="minorHAnsi" w:hAnsiTheme="minorHAnsi" w:cstheme="minorHAnsi"/>
          <w:szCs w:val="20"/>
        </w:rPr>
        <w:br w:type="page"/>
      </w:r>
    </w:p>
    <w:p w14:paraId="71DD797A" w14:textId="77777777" w:rsidR="00D64EA4" w:rsidRPr="00AC0422" w:rsidRDefault="00D64EA4" w:rsidP="00901804">
      <w:pPr>
        <w:pStyle w:val="Heading1"/>
        <w:rPr>
          <w:rFonts w:asciiTheme="minorHAnsi" w:hAnsiTheme="minorHAnsi" w:cstheme="minorHAnsi"/>
        </w:rPr>
      </w:pPr>
      <w:bookmarkStart w:id="1" w:name="_Toc10117702"/>
      <w:bookmarkStart w:id="2" w:name="_Toc10449632"/>
      <w:bookmarkStart w:id="3" w:name="_Toc40273934"/>
      <w:r w:rsidRPr="00AC0422">
        <w:rPr>
          <w:rFonts w:asciiTheme="minorHAnsi" w:hAnsiTheme="minorHAnsi" w:cstheme="minorHAnsi"/>
        </w:rPr>
        <w:lastRenderedPageBreak/>
        <w:t>Table of Contents</w:t>
      </w:r>
      <w:bookmarkEnd w:id="1"/>
      <w:bookmarkEnd w:id="2"/>
      <w:bookmarkEnd w:id="3"/>
    </w:p>
    <w:p w14:paraId="0649895D" w14:textId="7B4FC4B6" w:rsidR="006705C7" w:rsidRPr="00AC0422" w:rsidRDefault="00D64EA4" w:rsidP="005F3BF6">
      <w:pPr>
        <w:pStyle w:val="TOC1"/>
        <w:rPr>
          <w:rFonts w:asciiTheme="minorHAnsi" w:eastAsiaTheme="minorEastAsia" w:hAnsiTheme="minorHAnsi" w:cstheme="minorHAnsi"/>
          <w:noProof/>
          <w:sz w:val="22"/>
          <w:szCs w:val="22"/>
        </w:rPr>
      </w:pPr>
      <w:r w:rsidRPr="00AC0422">
        <w:rPr>
          <w:rFonts w:asciiTheme="minorHAnsi" w:hAnsiTheme="minorHAnsi" w:cstheme="minorHAnsi"/>
          <w:szCs w:val="20"/>
        </w:rPr>
        <w:fldChar w:fldCharType="begin"/>
      </w:r>
      <w:r w:rsidRPr="00AC0422">
        <w:rPr>
          <w:rFonts w:asciiTheme="minorHAnsi" w:hAnsiTheme="minorHAnsi" w:cstheme="minorHAnsi"/>
          <w:szCs w:val="20"/>
        </w:rPr>
        <w:instrText xml:space="preserve"> TOC \o "1-3" \h \z \u </w:instrText>
      </w:r>
      <w:r w:rsidRPr="00AC0422">
        <w:rPr>
          <w:rFonts w:asciiTheme="minorHAnsi" w:hAnsiTheme="minorHAnsi" w:cstheme="minorHAnsi"/>
          <w:szCs w:val="20"/>
        </w:rPr>
        <w:fldChar w:fldCharType="separate"/>
      </w:r>
      <w:hyperlink w:anchor="_Toc40273934" w:history="1">
        <w:r w:rsidR="006705C7" w:rsidRPr="00AC0422">
          <w:rPr>
            <w:rStyle w:val="Hyperlink"/>
            <w:rFonts w:asciiTheme="minorHAnsi" w:hAnsiTheme="minorHAnsi" w:cstheme="minorHAnsi"/>
            <w:noProof/>
          </w:rPr>
          <w:t>I.</w:t>
        </w:r>
        <w:r w:rsidR="006705C7" w:rsidRPr="00AC0422">
          <w:rPr>
            <w:rFonts w:asciiTheme="minorHAnsi" w:eastAsiaTheme="minorEastAsia" w:hAnsiTheme="minorHAnsi" w:cstheme="minorHAnsi"/>
            <w:noProof/>
            <w:sz w:val="22"/>
            <w:szCs w:val="22"/>
          </w:rPr>
          <w:tab/>
        </w:r>
        <w:r w:rsidR="006705C7" w:rsidRPr="00AC0422">
          <w:rPr>
            <w:rStyle w:val="Hyperlink"/>
            <w:rFonts w:asciiTheme="minorHAnsi" w:hAnsiTheme="minorHAnsi" w:cstheme="minorHAnsi"/>
            <w:noProof/>
          </w:rPr>
          <w:t>Table of Contents</w:t>
        </w:r>
        <w:r w:rsidR="006705C7" w:rsidRPr="00AC0422">
          <w:rPr>
            <w:rFonts w:asciiTheme="minorHAnsi" w:hAnsiTheme="minorHAnsi" w:cstheme="minorHAnsi"/>
            <w:noProof/>
            <w:webHidden/>
          </w:rPr>
          <w:tab/>
        </w:r>
        <w:r w:rsidR="006705C7" w:rsidRPr="00AC0422">
          <w:rPr>
            <w:rFonts w:asciiTheme="minorHAnsi" w:hAnsiTheme="minorHAnsi" w:cstheme="minorHAnsi"/>
            <w:noProof/>
            <w:webHidden/>
          </w:rPr>
          <w:fldChar w:fldCharType="begin"/>
        </w:r>
        <w:r w:rsidR="006705C7" w:rsidRPr="00AC0422">
          <w:rPr>
            <w:rFonts w:asciiTheme="minorHAnsi" w:hAnsiTheme="minorHAnsi" w:cstheme="minorHAnsi"/>
            <w:noProof/>
            <w:webHidden/>
          </w:rPr>
          <w:instrText xml:space="preserve"> PAGEREF _Toc40273934 \h </w:instrText>
        </w:r>
        <w:r w:rsidR="006705C7" w:rsidRPr="00AC0422">
          <w:rPr>
            <w:rFonts w:asciiTheme="minorHAnsi" w:hAnsiTheme="minorHAnsi" w:cstheme="minorHAnsi"/>
            <w:noProof/>
            <w:webHidden/>
          </w:rPr>
        </w:r>
        <w:r w:rsidR="006705C7" w:rsidRPr="00AC0422">
          <w:rPr>
            <w:rFonts w:asciiTheme="minorHAnsi" w:hAnsiTheme="minorHAnsi" w:cstheme="minorHAnsi"/>
            <w:noProof/>
            <w:webHidden/>
          </w:rPr>
          <w:fldChar w:fldCharType="separate"/>
        </w:r>
        <w:r w:rsidR="006705C7" w:rsidRPr="00AC0422">
          <w:rPr>
            <w:rFonts w:asciiTheme="minorHAnsi" w:hAnsiTheme="minorHAnsi" w:cstheme="minorHAnsi"/>
            <w:noProof/>
            <w:webHidden/>
          </w:rPr>
          <w:t>6</w:t>
        </w:r>
        <w:r w:rsidR="006705C7" w:rsidRPr="00AC0422">
          <w:rPr>
            <w:rFonts w:asciiTheme="minorHAnsi" w:hAnsiTheme="minorHAnsi" w:cstheme="minorHAnsi"/>
            <w:noProof/>
            <w:webHidden/>
          </w:rPr>
          <w:fldChar w:fldCharType="end"/>
        </w:r>
      </w:hyperlink>
    </w:p>
    <w:p w14:paraId="4E275B13" w14:textId="2BE4CE5C" w:rsidR="006705C7" w:rsidRPr="00AC0422" w:rsidRDefault="006705C7" w:rsidP="005F3BF6">
      <w:pPr>
        <w:pStyle w:val="TOC1"/>
        <w:rPr>
          <w:rFonts w:asciiTheme="minorHAnsi" w:eastAsiaTheme="minorEastAsia" w:hAnsiTheme="minorHAnsi" w:cstheme="minorHAnsi"/>
          <w:noProof/>
          <w:sz w:val="22"/>
          <w:szCs w:val="22"/>
        </w:rPr>
      </w:pPr>
      <w:hyperlink w:anchor="_Toc40273935" w:history="1">
        <w:r w:rsidRPr="00AC0422">
          <w:rPr>
            <w:rStyle w:val="Hyperlink"/>
            <w:rFonts w:asciiTheme="minorHAnsi" w:hAnsiTheme="minorHAnsi" w:cstheme="minorHAnsi"/>
            <w:noProof/>
          </w:rPr>
          <w:t>II.</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Development Challenge</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_Toc40273935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6</w:t>
        </w:r>
        <w:r w:rsidRPr="00AC0422">
          <w:rPr>
            <w:rFonts w:asciiTheme="minorHAnsi" w:hAnsiTheme="minorHAnsi" w:cstheme="minorHAnsi"/>
            <w:noProof/>
            <w:webHidden/>
          </w:rPr>
          <w:fldChar w:fldCharType="end"/>
        </w:r>
      </w:hyperlink>
    </w:p>
    <w:p w14:paraId="56DDBAC6" w14:textId="3864C88C" w:rsidR="006705C7" w:rsidRPr="00AC0422" w:rsidRDefault="006705C7" w:rsidP="005F3BF6">
      <w:pPr>
        <w:pStyle w:val="TOC1"/>
        <w:rPr>
          <w:rFonts w:asciiTheme="minorHAnsi" w:eastAsiaTheme="minorEastAsia" w:hAnsiTheme="minorHAnsi" w:cstheme="minorHAnsi"/>
          <w:noProof/>
          <w:sz w:val="22"/>
          <w:szCs w:val="22"/>
        </w:rPr>
      </w:pPr>
      <w:hyperlink w:anchor="_Toc40273936" w:history="1">
        <w:r w:rsidRPr="00AC0422">
          <w:rPr>
            <w:rStyle w:val="Hyperlink"/>
            <w:rFonts w:asciiTheme="minorHAnsi" w:hAnsiTheme="minorHAnsi" w:cstheme="minorHAnsi"/>
            <w:noProof/>
          </w:rPr>
          <w:t>III.</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Strategy</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_Toc40273936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6</w:t>
        </w:r>
        <w:r w:rsidRPr="00AC0422">
          <w:rPr>
            <w:rFonts w:asciiTheme="minorHAnsi" w:hAnsiTheme="minorHAnsi" w:cstheme="minorHAnsi"/>
            <w:noProof/>
            <w:webHidden/>
          </w:rPr>
          <w:fldChar w:fldCharType="end"/>
        </w:r>
      </w:hyperlink>
    </w:p>
    <w:p w14:paraId="135313BA" w14:textId="3F7419DB" w:rsidR="006705C7" w:rsidRPr="00AC0422" w:rsidRDefault="006705C7" w:rsidP="005F3BF6">
      <w:pPr>
        <w:pStyle w:val="TOC1"/>
        <w:rPr>
          <w:rFonts w:asciiTheme="minorHAnsi" w:eastAsiaTheme="minorEastAsia" w:hAnsiTheme="minorHAnsi" w:cstheme="minorHAnsi"/>
          <w:noProof/>
          <w:sz w:val="22"/>
          <w:szCs w:val="22"/>
        </w:rPr>
      </w:pPr>
      <w:hyperlink w:anchor="_Toc40273937" w:history="1">
        <w:r w:rsidRPr="00AC0422">
          <w:rPr>
            <w:rStyle w:val="Hyperlink"/>
            <w:rFonts w:asciiTheme="minorHAnsi" w:hAnsiTheme="minorHAnsi" w:cstheme="minorHAnsi"/>
            <w:noProof/>
          </w:rPr>
          <w:t>IV.</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Results and Partnerships</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_Toc40273937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7</w:t>
        </w:r>
        <w:r w:rsidRPr="00AC0422">
          <w:rPr>
            <w:rFonts w:asciiTheme="minorHAnsi" w:hAnsiTheme="minorHAnsi" w:cstheme="minorHAnsi"/>
            <w:noProof/>
            <w:webHidden/>
          </w:rPr>
          <w:fldChar w:fldCharType="end"/>
        </w:r>
      </w:hyperlink>
    </w:p>
    <w:p w14:paraId="75287938" w14:textId="66B299E2" w:rsidR="006705C7" w:rsidRPr="00AC0422" w:rsidRDefault="006705C7" w:rsidP="005F3BF6">
      <w:pPr>
        <w:pStyle w:val="TOC1"/>
        <w:rPr>
          <w:rFonts w:asciiTheme="minorHAnsi" w:eastAsiaTheme="minorEastAsia" w:hAnsiTheme="minorHAnsi" w:cstheme="minorHAnsi"/>
          <w:noProof/>
          <w:sz w:val="22"/>
          <w:szCs w:val="22"/>
        </w:rPr>
      </w:pPr>
      <w:hyperlink w:anchor="_Toc40273938" w:history="1">
        <w:r w:rsidRPr="00AC0422">
          <w:rPr>
            <w:rStyle w:val="Hyperlink"/>
            <w:rFonts w:asciiTheme="minorHAnsi" w:hAnsiTheme="minorHAnsi" w:cstheme="minorHAnsi"/>
            <w:noProof/>
          </w:rPr>
          <w:t>V.</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Project Results Framework</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_Toc40273938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8</w:t>
        </w:r>
        <w:r w:rsidRPr="00AC0422">
          <w:rPr>
            <w:rFonts w:asciiTheme="minorHAnsi" w:hAnsiTheme="minorHAnsi" w:cstheme="minorHAnsi"/>
            <w:noProof/>
            <w:webHidden/>
          </w:rPr>
          <w:fldChar w:fldCharType="end"/>
        </w:r>
      </w:hyperlink>
    </w:p>
    <w:p w14:paraId="2CBF5175" w14:textId="1D08CA6A" w:rsidR="006705C7" w:rsidRPr="00AC0422" w:rsidRDefault="006705C7" w:rsidP="005F3BF6">
      <w:pPr>
        <w:pStyle w:val="TOC1"/>
        <w:rPr>
          <w:rFonts w:asciiTheme="minorHAnsi" w:eastAsiaTheme="minorEastAsia" w:hAnsiTheme="minorHAnsi" w:cstheme="minorHAnsi"/>
          <w:noProof/>
          <w:sz w:val="22"/>
          <w:szCs w:val="22"/>
        </w:rPr>
      </w:pPr>
      <w:hyperlink w:anchor="_Toc40273939" w:history="1">
        <w:r w:rsidRPr="00AC0422">
          <w:rPr>
            <w:rStyle w:val="Hyperlink"/>
            <w:rFonts w:asciiTheme="minorHAnsi" w:hAnsiTheme="minorHAnsi" w:cstheme="minorHAnsi"/>
            <w:noProof/>
          </w:rPr>
          <w:t>VI.</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Monitoring and Evaluation (M&amp;E) Plan</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_Toc40273939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9</w:t>
        </w:r>
        <w:r w:rsidRPr="00AC0422">
          <w:rPr>
            <w:rFonts w:asciiTheme="minorHAnsi" w:hAnsiTheme="minorHAnsi" w:cstheme="minorHAnsi"/>
            <w:noProof/>
            <w:webHidden/>
          </w:rPr>
          <w:fldChar w:fldCharType="end"/>
        </w:r>
      </w:hyperlink>
    </w:p>
    <w:p w14:paraId="42A4AF93" w14:textId="7938DB64" w:rsidR="006705C7" w:rsidRPr="00AC0422" w:rsidRDefault="006705C7" w:rsidP="005F3BF6">
      <w:pPr>
        <w:pStyle w:val="TOC1"/>
        <w:rPr>
          <w:rFonts w:asciiTheme="minorHAnsi" w:eastAsiaTheme="minorEastAsia" w:hAnsiTheme="minorHAnsi" w:cstheme="minorHAnsi"/>
          <w:noProof/>
          <w:sz w:val="22"/>
          <w:szCs w:val="22"/>
        </w:rPr>
      </w:pPr>
      <w:hyperlink w:anchor="_Toc40273940" w:history="1">
        <w:r w:rsidRPr="00AC0422">
          <w:rPr>
            <w:rStyle w:val="Hyperlink"/>
            <w:rFonts w:asciiTheme="minorHAnsi" w:hAnsiTheme="minorHAnsi" w:cstheme="minorHAnsi"/>
            <w:noProof/>
          </w:rPr>
          <w:t>VII.</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Governance and Management Arrangements</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_Toc40273940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13</w:t>
        </w:r>
        <w:r w:rsidRPr="00AC0422">
          <w:rPr>
            <w:rFonts w:asciiTheme="minorHAnsi" w:hAnsiTheme="minorHAnsi" w:cstheme="minorHAnsi"/>
            <w:noProof/>
            <w:webHidden/>
          </w:rPr>
          <w:fldChar w:fldCharType="end"/>
        </w:r>
      </w:hyperlink>
    </w:p>
    <w:p w14:paraId="42F06B7A" w14:textId="6717380A" w:rsidR="006705C7" w:rsidRPr="00AC0422" w:rsidRDefault="006705C7" w:rsidP="005F3BF6">
      <w:pPr>
        <w:pStyle w:val="TOC1"/>
        <w:rPr>
          <w:rFonts w:asciiTheme="minorHAnsi" w:eastAsiaTheme="minorEastAsia" w:hAnsiTheme="minorHAnsi" w:cstheme="minorHAnsi"/>
          <w:noProof/>
          <w:sz w:val="22"/>
          <w:szCs w:val="22"/>
        </w:rPr>
      </w:pPr>
      <w:hyperlink w:anchor="_Toc40273941" w:history="1">
        <w:r w:rsidRPr="00AC0422">
          <w:rPr>
            <w:rStyle w:val="Hyperlink"/>
            <w:rFonts w:asciiTheme="minorHAnsi" w:hAnsiTheme="minorHAnsi" w:cstheme="minorHAnsi"/>
            <w:noProof/>
          </w:rPr>
          <w:t>VIII.</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Financial Planning and Management</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_Toc40273941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19</w:t>
        </w:r>
        <w:r w:rsidRPr="00AC0422">
          <w:rPr>
            <w:rFonts w:asciiTheme="minorHAnsi" w:hAnsiTheme="minorHAnsi" w:cstheme="minorHAnsi"/>
            <w:noProof/>
            <w:webHidden/>
          </w:rPr>
          <w:fldChar w:fldCharType="end"/>
        </w:r>
      </w:hyperlink>
    </w:p>
    <w:p w14:paraId="1C57EF54" w14:textId="31851D22" w:rsidR="006705C7" w:rsidRPr="00AC0422" w:rsidRDefault="006705C7" w:rsidP="005F3BF6">
      <w:pPr>
        <w:pStyle w:val="TOC1"/>
        <w:rPr>
          <w:rFonts w:asciiTheme="minorHAnsi" w:eastAsiaTheme="minorEastAsia" w:hAnsiTheme="minorHAnsi" w:cstheme="minorHAnsi"/>
          <w:noProof/>
          <w:sz w:val="22"/>
          <w:szCs w:val="22"/>
        </w:rPr>
      </w:pPr>
      <w:hyperlink w:anchor="_Toc40273942" w:history="1">
        <w:r w:rsidRPr="00AC0422">
          <w:rPr>
            <w:rStyle w:val="Hyperlink"/>
            <w:rFonts w:asciiTheme="minorHAnsi" w:hAnsiTheme="minorHAnsi" w:cstheme="minorHAnsi"/>
            <w:noProof/>
          </w:rPr>
          <w:t>IX.</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Total Budget and Work Plan</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_Toc40273942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21</w:t>
        </w:r>
        <w:r w:rsidRPr="00AC0422">
          <w:rPr>
            <w:rFonts w:asciiTheme="minorHAnsi" w:hAnsiTheme="minorHAnsi" w:cstheme="minorHAnsi"/>
            <w:noProof/>
            <w:webHidden/>
          </w:rPr>
          <w:fldChar w:fldCharType="end"/>
        </w:r>
      </w:hyperlink>
    </w:p>
    <w:p w14:paraId="74853258" w14:textId="75DB639B" w:rsidR="006705C7" w:rsidRPr="00AC0422" w:rsidRDefault="006705C7" w:rsidP="005F3BF6">
      <w:pPr>
        <w:pStyle w:val="TOC1"/>
        <w:rPr>
          <w:rFonts w:asciiTheme="minorHAnsi" w:eastAsiaTheme="minorEastAsia" w:hAnsiTheme="minorHAnsi" w:cstheme="minorHAnsi"/>
          <w:noProof/>
          <w:sz w:val="22"/>
          <w:szCs w:val="22"/>
        </w:rPr>
      </w:pPr>
      <w:hyperlink w:anchor="_Toc40273943" w:history="1">
        <w:r w:rsidRPr="00AC0422">
          <w:rPr>
            <w:rStyle w:val="Hyperlink"/>
            <w:rFonts w:asciiTheme="minorHAnsi" w:hAnsiTheme="minorHAnsi" w:cstheme="minorHAnsi"/>
            <w:noProof/>
          </w:rPr>
          <w:t>X.</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Legal Context</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_Toc40273943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22</w:t>
        </w:r>
        <w:r w:rsidRPr="00AC0422">
          <w:rPr>
            <w:rFonts w:asciiTheme="minorHAnsi" w:hAnsiTheme="minorHAnsi" w:cstheme="minorHAnsi"/>
            <w:noProof/>
            <w:webHidden/>
          </w:rPr>
          <w:fldChar w:fldCharType="end"/>
        </w:r>
      </w:hyperlink>
    </w:p>
    <w:p w14:paraId="34E94917" w14:textId="54264D92" w:rsidR="006705C7" w:rsidRPr="00AC0422" w:rsidRDefault="006705C7" w:rsidP="005F3BF6">
      <w:pPr>
        <w:pStyle w:val="TOC1"/>
        <w:rPr>
          <w:rFonts w:asciiTheme="minorHAnsi" w:eastAsiaTheme="minorEastAsia" w:hAnsiTheme="minorHAnsi" w:cstheme="minorHAnsi"/>
          <w:noProof/>
          <w:sz w:val="22"/>
          <w:szCs w:val="22"/>
        </w:rPr>
      </w:pPr>
      <w:hyperlink w:anchor="_Toc40273944" w:history="1">
        <w:r w:rsidRPr="00AC0422">
          <w:rPr>
            <w:rStyle w:val="Hyperlink"/>
            <w:rFonts w:asciiTheme="minorHAnsi" w:hAnsiTheme="minorHAnsi" w:cstheme="minorHAnsi"/>
            <w:noProof/>
          </w:rPr>
          <w:t>XI.</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Risk Management</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_Toc40273944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23</w:t>
        </w:r>
        <w:r w:rsidRPr="00AC0422">
          <w:rPr>
            <w:rFonts w:asciiTheme="minorHAnsi" w:hAnsiTheme="minorHAnsi" w:cstheme="minorHAnsi"/>
            <w:noProof/>
            <w:webHidden/>
          </w:rPr>
          <w:fldChar w:fldCharType="end"/>
        </w:r>
      </w:hyperlink>
    </w:p>
    <w:p w14:paraId="74A5B937" w14:textId="7C6F0D9D" w:rsidR="006705C7" w:rsidRPr="00AC0422" w:rsidRDefault="006705C7" w:rsidP="005F3BF6">
      <w:pPr>
        <w:pStyle w:val="TOC1"/>
        <w:rPr>
          <w:rFonts w:asciiTheme="minorHAnsi" w:eastAsiaTheme="minorEastAsia" w:hAnsiTheme="minorHAnsi" w:cstheme="minorHAnsi"/>
          <w:noProof/>
          <w:sz w:val="22"/>
          <w:szCs w:val="22"/>
        </w:rPr>
      </w:pPr>
      <w:hyperlink w:anchor="_Toc40273945" w:history="1">
        <w:r w:rsidRPr="00AC0422">
          <w:rPr>
            <w:rStyle w:val="Hyperlink"/>
            <w:rFonts w:asciiTheme="minorHAnsi" w:hAnsiTheme="minorHAnsi" w:cstheme="minorHAnsi"/>
            <w:noProof/>
          </w:rPr>
          <w:t>XII.</w:t>
        </w:r>
        <w:r w:rsidRPr="00AC0422">
          <w:rPr>
            <w:rFonts w:asciiTheme="minorHAnsi" w:eastAsiaTheme="minorEastAsia" w:hAnsiTheme="minorHAnsi" w:cstheme="minorHAnsi"/>
            <w:noProof/>
            <w:sz w:val="22"/>
            <w:szCs w:val="22"/>
          </w:rPr>
          <w:tab/>
        </w:r>
        <w:r w:rsidRPr="00AC0422">
          <w:rPr>
            <w:rStyle w:val="Hyperlink"/>
            <w:rFonts w:asciiTheme="minorHAnsi" w:hAnsiTheme="minorHAnsi" w:cstheme="minorHAnsi"/>
            <w:noProof/>
          </w:rPr>
          <w:t>Mandatory Annexes</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_Toc40273945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26</w:t>
        </w:r>
        <w:r w:rsidRPr="00AC0422">
          <w:rPr>
            <w:rFonts w:asciiTheme="minorHAnsi" w:hAnsiTheme="minorHAnsi" w:cstheme="minorHAnsi"/>
            <w:noProof/>
            <w:webHidden/>
          </w:rPr>
          <w:fldChar w:fldCharType="end"/>
        </w:r>
      </w:hyperlink>
    </w:p>
    <w:p w14:paraId="14BF6639" w14:textId="2CE4F1C5" w:rsidR="006705C7" w:rsidRPr="00AC0422" w:rsidRDefault="006705C7" w:rsidP="005F3BF6">
      <w:pPr>
        <w:pStyle w:val="TOC2"/>
        <w:rPr>
          <w:rFonts w:asciiTheme="minorHAnsi" w:eastAsiaTheme="minorEastAsia" w:hAnsiTheme="minorHAnsi" w:cstheme="minorHAnsi"/>
          <w:noProof/>
          <w:sz w:val="22"/>
          <w:szCs w:val="22"/>
        </w:rPr>
      </w:pPr>
      <w:hyperlink w:anchor="_Toc40273946" w:history="1">
        <w:r w:rsidRPr="00AC0422">
          <w:rPr>
            <w:rStyle w:val="Hyperlink"/>
            <w:rFonts w:asciiTheme="minorHAnsi" w:hAnsiTheme="minorHAnsi" w:cstheme="minorHAnsi"/>
            <w:noProof/>
          </w:rPr>
          <w:t>Annex A: GCF approved Readiness and Preparatory Support Proposal</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_Toc40273946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27</w:t>
        </w:r>
        <w:r w:rsidRPr="00AC0422">
          <w:rPr>
            <w:rFonts w:asciiTheme="minorHAnsi" w:hAnsiTheme="minorHAnsi" w:cstheme="minorHAnsi"/>
            <w:noProof/>
            <w:webHidden/>
          </w:rPr>
          <w:fldChar w:fldCharType="end"/>
        </w:r>
      </w:hyperlink>
    </w:p>
    <w:p w14:paraId="0DC15A46" w14:textId="0584431D" w:rsidR="006705C7" w:rsidRPr="00AC0422" w:rsidRDefault="006705C7" w:rsidP="005F3BF6">
      <w:pPr>
        <w:pStyle w:val="TOC2"/>
        <w:rPr>
          <w:rFonts w:asciiTheme="minorHAnsi" w:eastAsiaTheme="minorEastAsia" w:hAnsiTheme="minorHAnsi" w:cstheme="minorHAnsi"/>
          <w:noProof/>
          <w:sz w:val="22"/>
          <w:szCs w:val="22"/>
        </w:rPr>
      </w:pPr>
      <w:hyperlink w:anchor="_Toc40273947" w:history="1">
        <w:r w:rsidRPr="00AC0422">
          <w:rPr>
            <w:rStyle w:val="Hyperlink"/>
            <w:rFonts w:asciiTheme="minorHAnsi" w:hAnsiTheme="minorHAnsi" w:cstheme="minorHAnsi"/>
            <w:noProof/>
          </w:rPr>
          <w:t>Annex B: GCF notification of approval letter</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_Toc40273947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28</w:t>
        </w:r>
        <w:r w:rsidRPr="00AC0422">
          <w:rPr>
            <w:rFonts w:asciiTheme="minorHAnsi" w:hAnsiTheme="minorHAnsi" w:cstheme="minorHAnsi"/>
            <w:noProof/>
            <w:webHidden/>
          </w:rPr>
          <w:fldChar w:fldCharType="end"/>
        </w:r>
      </w:hyperlink>
    </w:p>
    <w:p w14:paraId="4DB0E06F" w14:textId="3DA2A6F9" w:rsidR="006705C7" w:rsidRPr="00AC0422" w:rsidRDefault="006705C7" w:rsidP="005F3BF6">
      <w:pPr>
        <w:pStyle w:val="TOC2"/>
        <w:rPr>
          <w:rFonts w:asciiTheme="minorHAnsi" w:eastAsiaTheme="minorEastAsia" w:hAnsiTheme="minorHAnsi" w:cstheme="minorHAnsi"/>
          <w:noProof/>
          <w:sz w:val="22"/>
          <w:szCs w:val="22"/>
        </w:rPr>
      </w:pPr>
      <w:hyperlink w:anchor="_Toc40273948" w:history="1">
        <w:r w:rsidRPr="00AC0422">
          <w:rPr>
            <w:rStyle w:val="Hyperlink"/>
            <w:rFonts w:asciiTheme="minorHAnsi" w:hAnsiTheme="minorHAnsi" w:cstheme="minorHAnsi"/>
            <w:noProof/>
          </w:rPr>
          <w:t>Annex C: Procurement plan</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_Toc40273948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29</w:t>
        </w:r>
        <w:r w:rsidRPr="00AC0422">
          <w:rPr>
            <w:rFonts w:asciiTheme="minorHAnsi" w:hAnsiTheme="minorHAnsi" w:cstheme="minorHAnsi"/>
            <w:noProof/>
            <w:webHidden/>
          </w:rPr>
          <w:fldChar w:fldCharType="end"/>
        </w:r>
      </w:hyperlink>
    </w:p>
    <w:p w14:paraId="094056A4" w14:textId="08921383" w:rsidR="006705C7" w:rsidRPr="00AC0422" w:rsidRDefault="006705C7" w:rsidP="00277389">
      <w:pPr>
        <w:pStyle w:val="TOC2"/>
        <w:rPr>
          <w:rFonts w:asciiTheme="minorHAnsi" w:eastAsiaTheme="minorEastAsia" w:hAnsiTheme="minorHAnsi" w:cstheme="minorHAnsi"/>
          <w:noProof/>
          <w:sz w:val="22"/>
          <w:szCs w:val="22"/>
        </w:rPr>
      </w:pPr>
      <w:hyperlink w:anchor="_Toc40273949" w:history="1">
        <w:r w:rsidRPr="00AC0422">
          <w:rPr>
            <w:rStyle w:val="Hyperlink"/>
            <w:rFonts w:asciiTheme="minorHAnsi" w:hAnsiTheme="minorHAnsi" w:cstheme="minorHAnsi"/>
            <w:noProof/>
          </w:rPr>
          <w:t>Annex D: Terms of Reference for Project Board and Project Team</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_Toc40273949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30</w:t>
        </w:r>
        <w:r w:rsidRPr="00AC0422">
          <w:rPr>
            <w:rFonts w:asciiTheme="minorHAnsi" w:hAnsiTheme="minorHAnsi" w:cstheme="minorHAnsi"/>
            <w:noProof/>
            <w:webHidden/>
          </w:rPr>
          <w:fldChar w:fldCharType="end"/>
        </w:r>
      </w:hyperlink>
    </w:p>
    <w:p w14:paraId="6F4D22ED" w14:textId="3290EE27" w:rsidR="006705C7" w:rsidRPr="00AC0422" w:rsidRDefault="006705C7" w:rsidP="005F3BF6">
      <w:pPr>
        <w:pStyle w:val="TOC2"/>
        <w:rPr>
          <w:rFonts w:asciiTheme="minorHAnsi" w:eastAsiaTheme="minorEastAsia" w:hAnsiTheme="minorHAnsi" w:cstheme="minorHAnsi"/>
          <w:noProof/>
          <w:sz w:val="22"/>
          <w:szCs w:val="22"/>
        </w:rPr>
      </w:pPr>
      <w:hyperlink w:anchor="_Toc40273952" w:history="1">
        <w:r w:rsidRPr="00AC0422">
          <w:rPr>
            <w:rStyle w:val="Hyperlink"/>
            <w:rFonts w:asciiTheme="minorHAnsi" w:hAnsiTheme="minorHAnsi" w:cstheme="minorHAnsi"/>
            <w:noProof/>
          </w:rPr>
          <w:t>A</w:t>
        </w:r>
        <w:r w:rsidR="00277389" w:rsidRPr="00AC0422">
          <w:rPr>
            <w:rStyle w:val="Hyperlink"/>
            <w:rFonts w:asciiTheme="minorHAnsi" w:hAnsiTheme="minorHAnsi" w:cstheme="minorHAnsi"/>
            <w:noProof/>
          </w:rPr>
          <w:t>nnex</w:t>
        </w:r>
        <w:r w:rsidRPr="00AC0422">
          <w:rPr>
            <w:rStyle w:val="Hyperlink"/>
            <w:rFonts w:asciiTheme="minorHAnsi" w:hAnsiTheme="minorHAnsi" w:cstheme="minorHAnsi"/>
            <w:noProof/>
          </w:rPr>
          <w:t xml:space="preserve"> </w:t>
        </w:r>
        <w:r w:rsidR="00277389" w:rsidRPr="00AC0422">
          <w:rPr>
            <w:rStyle w:val="Hyperlink"/>
            <w:rFonts w:asciiTheme="minorHAnsi" w:hAnsiTheme="minorHAnsi" w:cstheme="minorHAnsi"/>
            <w:noProof/>
          </w:rPr>
          <w:t>E</w:t>
        </w:r>
        <w:r w:rsidRPr="00AC0422">
          <w:rPr>
            <w:rStyle w:val="Hyperlink"/>
            <w:rFonts w:asciiTheme="minorHAnsi" w:hAnsiTheme="minorHAnsi" w:cstheme="minorHAnsi"/>
            <w:noProof/>
          </w:rPr>
          <w:t>: UNDP Risk Log</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_Toc40273952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37</w:t>
        </w:r>
        <w:r w:rsidRPr="00AC0422">
          <w:rPr>
            <w:rFonts w:asciiTheme="minorHAnsi" w:hAnsiTheme="minorHAnsi" w:cstheme="minorHAnsi"/>
            <w:noProof/>
            <w:webHidden/>
          </w:rPr>
          <w:fldChar w:fldCharType="end"/>
        </w:r>
      </w:hyperlink>
    </w:p>
    <w:p w14:paraId="7D41C5DF" w14:textId="78FED1D9" w:rsidR="006705C7" w:rsidRPr="00AC0422" w:rsidRDefault="006705C7" w:rsidP="005F3BF6">
      <w:pPr>
        <w:pStyle w:val="TOC2"/>
        <w:rPr>
          <w:rFonts w:asciiTheme="minorHAnsi" w:eastAsiaTheme="minorEastAsia" w:hAnsiTheme="minorHAnsi" w:cstheme="minorHAnsi"/>
          <w:noProof/>
          <w:sz w:val="22"/>
          <w:szCs w:val="22"/>
        </w:rPr>
      </w:pPr>
      <w:hyperlink w:anchor="_Toc40273953" w:history="1">
        <w:r w:rsidRPr="00AC0422">
          <w:rPr>
            <w:rStyle w:val="Hyperlink"/>
            <w:rFonts w:asciiTheme="minorHAnsi" w:hAnsiTheme="minorHAnsi" w:cstheme="minorHAnsi"/>
            <w:noProof/>
          </w:rPr>
          <w:t xml:space="preserve">Annex </w:t>
        </w:r>
        <w:r w:rsidR="00277389" w:rsidRPr="00AC0422">
          <w:rPr>
            <w:rStyle w:val="Hyperlink"/>
            <w:rFonts w:asciiTheme="minorHAnsi" w:hAnsiTheme="minorHAnsi" w:cstheme="minorHAnsi"/>
            <w:noProof/>
          </w:rPr>
          <w:t>F</w:t>
        </w:r>
        <w:r w:rsidRPr="00AC0422">
          <w:rPr>
            <w:rStyle w:val="Hyperlink"/>
            <w:rFonts w:asciiTheme="minorHAnsi" w:hAnsiTheme="minorHAnsi" w:cstheme="minorHAnsi"/>
            <w:noProof/>
          </w:rPr>
          <w:t>: UNDP Project Quality Assurance Report</w:t>
        </w:r>
        <w:r w:rsidRPr="00AC0422">
          <w:rPr>
            <w:rFonts w:asciiTheme="minorHAnsi" w:hAnsiTheme="minorHAnsi" w:cstheme="minorHAnsi"/>
            <w:noProof/>
            <w:webHidden/>
          </w:rPr>
          <w:tab/>
        </w:r>
        <w:r w:rsidRPr="00AC0422">
          <w:rPr>
            <w:rFonts w:asciiTheme="minorHAnsi" w:hAnsiTheme="minorHAnsi" w:cstheme="minorHAnsi"/>
            <w:noProof/>
            <w:webHidden/>
          </w:rPr>
          <w:fldChar w:fldCharType="begin"/>
        </w:r>
        <w:r w:rsidRPr="00AC0422">
          <w:rPr>
            <w:rFonts w:asciiTheme="minorHAnsi" w:hAnsiTheme="minorHAnsi" w:cstheme="minorHAnsi"/>
            <w:noProof/>
            <w:webHidden/>
          </w:rPr>
          <w:instrText xml:space="preserve"> PAGEREF _Toc40273953 \h </w:instrText>
        </w:r>
        <w:r w:rsidRPr="00AC0422">
          <w:rPr>
            <w:rFonts w:asciiTheme="minorHAnsi" w:hAnsiTheme="minorHAnsi" w:cstheme="minorHAnsi"/>
            <w:noProof/>
            <w:webHidden/>
          </w:rPr>
        </w:r>
        <w:r w:rsidRPr="00AC0422">
          <w:rPr>
            <w:rFonts w:asciiTheme="minorHAnsi" w:hAnsiTheme="minorHAnsi" w:cstheme="minorHAnsi"/>
            <w:noProof/>
            <w:webHidden/>
          </w:rPr>
          <w:fldChar w:fldCharType="separate"/>
        </w:r>
        <w:r w:rsidRPr="00AC0422">
          <w:rPr>
            <w:rFonts w:asciiTheme="minorHAnsi" w:hAnsiTheme="minorHAnsi" w:cstheme="minorHAnsi"/>
            <w:noProof/>
            <w:webHidden/>
          </w:rPr>
          <w:t>39</w:t>
        </w:r>
        <w:r w:rsidRPr="00AC0422">
          <w:rPr>
            <w:rFonts w:asciiTheme="minorHAnsi" w:hAnsiTheme="minorHAnsi" w:cstheme="minorHAnsi"/>
            <w:noProof/>
            <w:webHidden/>
          </w:rPr>
          <w:fldChar w:fldCharType="end"/>
        </w:r>
      </w:hyperlink>
    </w:p>
    <w:p w14:paraId="2AFD9400" w14:textId="3384BCBE" w:rsidR="00AE31A1" w:rsidRPr="00AC0422" w:rsidRDefault="00D64EA4" w:rsidP="00D25A9F">
      <w:pPr>
        <w:spacing w:after="240"/>
        <w:rPr>
          <w:rFonts w:asciiTheme="minorHAnsi" w:hAnsiTheme="minorHAnsi" w:cstheme="minorHAnsi"/>
          <w:b/>
          <w:bCs/>
          <w:noProof/>
          <w:szCs w:val="20"/>
        </w:rPr>
      </w:pPr>
      <w:r w:rsidRPr="00AC0422">
        <w:rPr>
          <w:rFonts w:asciiTheme="minorHAnsi" w:hAnsiTheme="minorHAnsi" w:cstheme="minorHAnsi"/>
          <w:b/>
          <w:bCs/>
          <w:noProof/>
          <w:szCs w:val="20"/>
        </w:rPr>
        <w:fldChar w:fldCharType="end"/>
      </w:r>
    </w:p>
    <w:p w14:paraId="4C330F53" w14:textId="77777777" w:rsidR="00277389" w:rsidRPr="00AC0422" w:rsidRDefault="00277389" w:rsidP="00D25A9F">
      <w:pPr>
        <w:spacing w:after="240"/>
        <w:rPr>
          <w:rFonts w:asciiTheme="minorHAnsi" w:hAnsiTheme="minorHAnsi" w:cstheme="minorHAnsi"/>
          <w:b/>
          <w:bCs/>
          <w:noProof/>
          <w:szCs w:val="20"/>
        </w:rPr>
      </w:pPr>
    </w:p>
    <w:p w14:paraId="6DEEB096" w14:textId="77777777" w:rsidR="00277389" w:rsidRPr="00AC0422" w:rsidRDefault="00277389" w:rsidP="00D25A9F">
      <w:pPr>
        <w:spacing w:after="240"/>
        <w:rPr>
          <w:rFonts w:asciiTheme="minorHAnsi" w:hAnsiTheme="minorHAnsi" w:cstheme="minorHAnsi"/>
          <w:b/>
          <w:bCs/>
          <w:noProof/>
          <w:szCs w:val="20"/>
        </w:rPr>
      </w:pPr>
    </w:p>
    <w:p w14:paraId="11377A98" w14:textId="77777777" w:rsidR="00277389" w:rsidRPr="00AC0422" w:rsidRDefault="00277389" w:rsidP="00D25A9F">
      <w:pPr>
        <w:spacing w:after="240"/>
        <w:rPr>
          <w:rFonts w:asciiTheme="minorHAnsi" w:hAnsiTheme="minorHAnsi" w:cstheme="minorHAnsi"/>
          <w:b/>
          <w:bCs/>
          <w:noProof/>
          <w:szCs w:val="20"/>
        </w:rPr>
      </w:pPr>
    </w:p>
    <w:p w14:paraId="399CA7C9" w14:textId="77777777" w:rsidR="00277389" w:rsidRPr="00AC0422" w:rsidRDefault="00277389" w:rsidP="00D25A9F">
      <w:pPr>
        <w:spacing w:after="240"/>
        <w:rPr>
          <w:rFonts w:asciiTheme="minorHAnsi" w:hAnsiTheme="minorHAnsi" w:cstheme="minorHAnsi"/>
          <w:b/>
          <w:bCs/>
          <w:noProof/>
          <w:szCs w:val="20"/>
        </w:rPr>
      </w:pPr>
    </w:p>
    <w:p w14:paraId="57CFB5FD" w14:textId="77777777" w:rsidR="00277389" w:rsidRPr="00AC0422" w:rsidRDefault="00277389" w:rsidP="00D25A9F">
      <w:pPr>
        <w:spacing w:after="240"/>
        <w:rPr>
          <w:rFonts w:asciiTheme="minorHAnsi" w:hAnsiTheme="minorHAnsi" w:cstheme="minorHAnsi"/>
          <w:b/>
          <w:bCs/>
          <w:noProof/>
          <w:szCs w:val="20"/>
        </w:rPr>
      </w:pPr>
    </w:p>
    <w:p w14:paraId="5C4AFF86" w14:textId="77777777" w:rsidR="00277389" w:rsidRPr="00AC0422" w:rsidRDefault="00277389" w:rsidP="00D25A9F">
      <w:pPr>
        <w:spacing w:after="240"/>
        <w:rPr>
          <w:rFonts w:asciiTheme="minorHAnsi" w:hAnsiTheme="minorHAnsi" w:cstheme="minorHAnsi"/>
          <w:b/>
          <w:bCs/>
          <w:noProof/>
          <w:szCs w:val="20"/>
        </w:rPr>
      </w:pPr>
    </w:p>
    <w:p w14:paraId="702BA601" w14:textId="77777777" w:rsidR="00277389" w:rsidRPr="00AC0422" w:rsidRDefault="00277389" w:rsidP="00D25A9F">
      <w:pPr>
        <w:spacing w:after="240"/>
        <w:rPr>
          <w:rFonts w:asciiTheme="minorHAnsi" w:hAnsiTheme="minorHAnsi" w:cstheme="minorHAnsi"/>
          <w:b/>
          <w:bCs/>
          <w:noProof/>
          <w:szCs w:val="20"/>
        </w:rPr>
      </w:pPr>
    </w:p>
    <w:p w14:paraId="03B4E63A" w14:textId="77777777" w:rsidR="00277389" w:rsidRPr="00AC0422" w:rsidRDefault="00277389" w:rsidP="00D25A9F">
      <w:pPr>
        <w:spacing w:after="240"/>
        <w:rPr>
          <w:rFonts w:asciiTheme="minorHAnsi" w:hAnsiTheme="minorHAnsi" w:cstheme="minorHAnsi"/>
          <w:b/>
          <w:bCs/>
          <w:noProof/>
          <w:szCs w:val="20"/>
        </w:rPr>
      </w:pPr>
    </w:p>
    <w:p w14:paraId="2EC3DFF9" w14:textId="77777777" w:rsidR="00277389" w:rsidRPr="00AC0422" w:rsidRDefault="00277389" w:rsidP="00D25A9F">
      <w:pPr>
        <w:spacing w:after="240"/>
        <w:rPr>
          <w:rFonts w:asciiTheme="minorHAnsi" w:hAnsiTheme="minorHAnsi" w:cstheme="minorHAnsi"/>
          <w:b/>
          <w:bCs/>
          <w:noProof/>
          <w:szCs w:val="20"/>
        </w:rPr>
      </w:pPr>
    </w:p>
    <w:p w14:paraId="22007989" w14:textId="77777777" w:rsidR="00277389" w:rsidRPr="00AC0422" w:rsidRDefault="00277389" w:rsidP="00D25A9F">
      <w:pPr>
        <w:spacing w:after="240"/>
        <w:rPr>
          <w:rFonts w:asciiTheme="minorHAnsi" w:hAnsiTheme="minorHAnsi" w:cstheme="minorHAnsi"/>
          <w:b/>
          <w:bCs/>
          <w:noProof/>
          <w:szCs w:val="20"/>
        </w:rPr>
      </w:pPr>
    </w:p>
    <w:p w14:paraId="398A3C72" w14:textId="77777777" w:rsidR="00277389" w:rsidRPr="00AC0422" w:rsidRDefault="00277389" w:rsidP="00D25A9F">
      <w:pPr>
        <w:spacing w:after="240"/>
        <w:rPr>
          <w:rFonts w:asciiTheme="minorHAnsi" w:hAnsiTheme="minorHAnsi" w:cstheme="minorHAnsi"/>
          <w:b/>
          <w:bCs/>
          <w:noProof/>
          <w:szCs w:val="20"/>
        </w:rPr>
      </w:pPr>
    </w:p>
    <w:p w14:paraId="04FF52C2" w14:textId="77777777" w:rsidR="009526AD" w:rsidRPr="00AC0422" w:rsidRDefault="009526AD" w:rsidP="00D25A9F">
      <w:pPr>
        <w:spacing w:after="240"/>
        <w:rPr>
          <w:rFonts w:asciiTheme="minorHAnsi" w:hAnsiTheme="minorHAnsi" w:cstheme="minorHAnsi"/>
          <w:b/>
          <w:bCs/>
          <w:noProof/>
          <w:szCs w:val="20"/>
        </w:rPr>
      </w:pPr>
    </w:p>
    <w:p w14:paraId="48272398" w14:textId="77777777" w:rsidR="009526AD" w:rsidRPr="00AC0422" w:rsidRDefault="009526AD" w:rsidP="00D25A9F">
      <w:pPr>
        <w:spacing w:after="240"/>
        <w:rPr>
          <w:rFonts w:asciiTheme="minorHAnsi" w:hAnsiTheme="minorHAnsi" w:cstheme="minorHAnsi"/>
          <w:b/>
          <w:bCs/>
          <w:noProof/>
          <w:szCs w:val="20"/>
        </w:rPr>
      </w:pPr>
    </w:p>
    <w:p w14:paraId="6414F780" w14:textId="77777777" w:rsidR="00277389" w:rsidRPr="00AC0422" w:rsidRDefault="00277389" w:rsidP="00D25A9F">
      <w:pPr>
        <w:spacing w:after="240"/>
        <w:rPr>
          <w:rFonts w:asciiTheme="minorHAnsi" w:hAnsiTheme="minorHAnsi" w:cstheme="minorHAnsi"/>
          <w:szCs w:val="20"/>
        </w:rPr>
      </w:pPr>
    </w:p>
    <w:p w14:paraId="3AC42EC5" w14:textId="77777777" w:rsidR="006B67FA" w:rsidRPr="00AC0422" w:rsidRDefault="006B67FA">
      <w:pPr>
        <w:spacing w:after="0"/>
        <w:jc w:val="left"/>
        <w:rPr>
          <w:rFonts w:asciiTheme="minorHAnsi" w:hAnsiTheme="minorHAnsi" w:cstheme="minorHAnsi"/>
          <w:b/>
          <w:szCs w:val="20"/>
        </w:rPr>
      </w:pPr>
    </w:p>
    <w:p w14:paraId="1E9A74BE" w14:textId="77777777" w:rsidR="00D218B7" w:rsidRPr="00AC0422" w:rsidRDefault="008C65EB" w:rsidP="00D218B7">
      <w:pPr>
        <w:pStyle w:val="Heading1"/>
        <w:spacing w:before="0" w:after="0" w:line="271" w:lineRule="auto"/>
        <w:jc w:val="left"/>
        <w:rPr>
          <w:rFonts w:asciiTheme="minorHAnsi" w:hAnsiTheme="minorHAnsi" w:cstheme="minorHAnsi"/>
        </w:rPr>
      </w:pPr>
      <w:bookmarkStart w:id="4" w:name="_Toc407785517"/>
      <w:bookmarkStart w:id="5" w:name="_Toc40273935"/>
      <w:r w:rsidRPr="00AC0422">
        <w:rPr>
          <w:rFonts w:asciiTheme="minorHAnsi" w:hAnsiTheme="minorHAnsi" w:cstheme="minorHAnsi"/>
        </w:rPr>
        <w:lastRenderedPageBreak/>
        <w:t xml:space="preserve">Development </w:t>
      </w:r>
      <w:r w:rsidR="00005D48" w:rsidRPr="00AC0422">
        <w:rPr>
          <w:rFonts w:asciiTheme="minorHAnsi" w:hAnsiTheme="minorHAnsi" w:cstheme="minorHAnsi"/>
        </w:rPr>
        <w:t>C</w:t>
      </w:r>
      <w:r w:rsidR="004C3717" w:rsidRPr="00AC0422">
        <w:rPr>
          <w:rFonts w:asciiTheme="minorHAnsi" w:hAnsiTheme="minorHAnsi" w:cstheme="minorHAnsi"/>
        </w:rPr>
        <w:t>hallenge</w:t>
      </w:r>
      <w:bookmarkEnd w:id="4"/>
      <w:bookmarkEnd w:id="5"/>
      <w:r w:rsidR="00A25CCB" w:rsidRPr="00AC0422">
        <w:rPr>
          <w:rFonts w:asciiTheme="minorHAnsi" w:hAnsiTheme="minorHAnsi" w:cstheme="minorHAnsi"/>
        </w:rPr>
        <w:t xml:space="preserve"> </w:t>
      </w:r>
    </w:p>
    <w:p w14:paraId="62937F5B" w14:textId="77777777" w:rsidR="00A161E5" w:rsidRPr="00AC0422" w:rsidRDefault="00A161E5" w:rsidP="00841551">
      <w:pPr>
        <w:spacing w:after="0"/>
        <w:jc w:val="left"/>
        <w:rPr>
          <w:rFonts w:asciiTheme="minorHAnsi" w:hAnsiTheme="minorHAnsi" w:cstheme="minorHAnsi"/>
          <w:b/>
          <w:i/>
          <w:szCs w:val="20"/>
          <w:highlight w:val="red"/>
        </w:rPr>
      </w:pPr>
    </w:p>
    <w:p w14:paraId="7C25FC24" w14:textId="77777777" w:rsidR="009526AD" w:rsidRPr="00AC0422" w:rsidRDefault="009526AD" w:rsidP="009526AD">
      <w:pPr>
        <w:rPr>
          <w:rFonts w:asciiTheme="minorHAnsi" w:hAnsiTheme="minorHAnsi" w:cstheme="minorHAnsi"/>
          <w:b/>
          <w:bCs/>
          <w:szCs w:val="20"/>
        </w:rPr>
      </w:pPr>
      <w:r w:rsidRPr="00AC0422">
        <w:rPr>
          <w:rFonts w:asciiTheme="minorHAnsi" w:hAnsiTheme="minorHAnsi" w:cstheme="minorHAnsi"/>
          <w:b/>
          <w:bCs/>
          <w:szCs w:val="20"/>
        </w:rPr>
        <w:t>Geophysical and climate context</w:t>
      </w:r>
    </w:p>
    <w:p w14:paraId="5846FBC5"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Yemen is an arid Middle Eastern country, occupying an area of 527,970 square kilometers at the southern end of the Arabian Peninsula with a population of 34.45 million in 2023. It is bordered to the north by Saudi Arabia, to the East by Oman, and the South and West by a 2,200 km coastline along the Gulf of Aden, Arabian Sea, and the Red Sea. It is subdivided into 21 governorates (</w:t>
      </w:r>
      <w:proofErr w:type="spellStart"/>
      <w:r w:rsidRPr="00AC0422">
        <w:rPr>
          <w:rFonts w:asciiTheme="minorHAnsi" w:hAnsiTheme="minorHAnsi" w:cstheme="minorHAnsi"/>
          <w:szCs w:val="20"/>
        </w:rPr>
        <w:t>muhafazat</w:t>
      </w:r>
      <w:proofErr w:type="spellEnd"/>
      <w:r w:rsidRPr="00AC0422">
        <w:rPr>
          <w:rFonts w:asciiTheme="minorHAnsi" w:hAnsiTheme="minorHAnsi" w:cstheme="minorHAnsi"/>
          <w:szCs w:val="20"/>
        </w:rPr>
        <w:t>) and one municipality (Amanah)</w:t>
      </w:r>
      <w:r w:rsidRPr="00AC0422">
        <w:rPr>
          <w:rStyle w:val="FootnoteReference"/>
          <w:rFonts w:asciiTheme="minorHAnsi" w:hAnsiTheme="minorHAnsi" w:cstheme="minorHAnsi"/>
          <w:szCs w:val="20"/>
        </w:rPr>
        <w:footnoteReference w:id="2"/>
      </w:r>
      <w:r w:rsidRPr="00AC0422">
        <w:rPr>
          <w:rFonts w:asciiTheme="minorHAnsi" w:hAnsiTheme="minorHAnsi" w:cstheme="minorHAnsi"/>
          <w:szCs w:val="20"/>
        </w:rPr>
        <w:t xml:space="preserve">. </w:t>
      </w:r>
    </w:p>
    <w:p w14:paraId="363596CC" w14:textId="77777777" w:rsidR="009526AD" w:rsidRPr="00AC0422" w:rsidRDefault="009526AD" w:rsidP="009526AD">
      <w:pPr>
        <w:pStyle w:val="NormalWeb"/>
        <w:rPr>
          <w:rFonts w:asciiTheme="minorHAnsi" w:hAnsiTheme="minorHAnsi" w:cstheme="minorHAnsi"/>
          <w:sz w:val="20"/>
          <w:szCs w:val="20"/>
        </w:rPr>
      </w:pPr>
      <w:r w:rsidRPr="00AC0422">
        <w:rPr>
          <w:rFonts w:asciiTheme="minorHAnsi" w:hAnsiTheme="minorHAnsi" w:cstheme="minorHAnsi"/>
          <w:sz w:val="20"/>
          <w:szCs w:val="20"/>
        </w:rPr>
        <w:t xml:space="preserve">Yemen can be geographically divided into five distinct regions:  1) The </w:t>
      </w:r>
      <w:proofErr w:type="spellStart"/>
      <w:r w:rsidRPr="00AC0422">
        <w:rPr>
          <w:rFonts w:asciiTheme="minorHAnsi" w:hAnsiTheme="minorHAnsi" w:cstheme="minorHAnsi"/>
          <w:sz w:val="20"/>
          <w:szCs w:val="20"/>
        </w:rPr>
        <w:t>Tihama</w:t>
      </w:r>
      <w:proofErr w:type="spellEnd"/>
      <w:r w:rsidRPr="00AC0422">
        <w:rPr>
          <w:rFonts w:asciiTheme="minorHAnsi" w:hAnsiTheme="minorHAnsi" w:cstheme="minorHAnsi"/>
          <w:sz w:val="20"/>
          <w:szCs w:val="20"/>
        </w:rPr>
        <w:t xml:space="preserve"> region, a hot and humid coastal plain with low precipitation (below 130 mm annually) stretching 2,200 </w:t>
      </w:r>
      <w:proofErr w:type="spellStart"/>
      <w:r w:rsidRPr="00AC0422">
        <w:rPr>
          <w:rFonts w:asciiTheme="minorHAnsi" w:hAnsiTheme="minorHAnsi" w:cstheme="minorHAnsi"/>
          <w:sz w:val="20"/>
          <w:szCs w:val="20"/>
        </w:rPr>
        <w:t>kilometres</w:t>
      </w:r>
      <w:proofErr w:type="spellEnd"/>
      <w:r w:rsidRPr="00AC0422">
        <w:rPr>
          <w:rFonts w:asciiTheme="minorHAnsi" w:hAnsiTheme="minorHAnsi" w:cstheme="minorHAnsi"/>
          <w:sz w:val="20"/>
          <w:szCs w:val="20"/>
        </w:rPr>
        <w:t xml:space="preserve"> (30–60 km wide) along the  Red Sea to the west, and the Gulf of Aden and Arabian Sea to the south; 2) The </w:t>
      </w:r>
      <w:proofErr w:type="spellStart"/>
      <w:r w:rsidRPr="00AC0422">
        <w:rPr>
          <w:rFonts w:asciiTheme="minorHAnsi" w:hAnsiTheme="minorHAnsi" w:cstheme="minorHAnsi"/>
          <w:sz w:val="20"/>
          <w:szCs w:val="20"/>
        </w:rPr>
        <w:t>Sarawat</w:t>
      </w:r>
      <w:proofErr w:type="spellEnd"/>
      <w:r w:rsidRPr="00AC0422">
        <w:rPr>
          <w:rFonts w:asciiTheme="minorHAnsi" w:hAnsiTheme="minorHAnsi" w:cstheme="minorHAnsi"/>
          <w:sz w:val="20"/>
          <w:szCs w:val="20"/>
        </w:rPr>
        <w:t xml:space="preserve"> Mountains, which comprise western and central highlands, rise abruptly from the coast along Yemen’s entire western perimeter and continue northward into Saudi Arabia, ranging from 1,000 to over 3,000 meters, and includes Jabal Al-Nabi </w:t>
      </w:r>
      <w:proofErr w:type="spellStart"/>
      <w:r w:rsidRPr="00AC0422">
        <w:rPr>
          <w:rFonts w:asciiTheme="minorHAnsi" w:hAnsiTheme="minorHAnsi" w:cstheme="minorHAnsi"/>
          <w:sz w:val="20"/>
          <w:szCs w:val="20"/>
        </w:rPr>
        <w:t>Shu’ayb</w:t>
      </w:r>
      <w:proofErr w:type="spellEnd"/>
      <w:r w:rsidRPr="00AC0422">
        <w:rPr>
          <w:rFonts w:asciiTheme="minorHAnsi" w:hAnsiTheme="minorHAnsi" w:cstheme="minorHAnsi"/>
          <w:sz w:val="20"/>
          <w:szCs w:val="20"/>
        </w:rPr>
        <w:t xml:space="preserve"> at 3,665 meters above sea level, the highest point on the Arabian Peninsula. These highlands receive the most precipitation oi the entire Arabian Peninsula. The temperate central highlands, where the capital Sana’a is located, comprise most of the elevated expanse above 2,000 meters. 3) The sparsely populated Eastern Highlands have elevations ranging from 750 to approximately 1,000 meters. 4) Rub al-Khali Desert or “Empty Quarter” which occupies the north and northeastern interior comprising 57% of Yemen’s territory, is classified as desert and is largely devoid of settlements. 5) Yemen also claims over112 islands in the Red Sea, the largest being Socotra Island (3,900 km</w:t>
      </w:r>
      <w:r w:rsidRPr="00AC0422">
        <w:rPr>
          <w:rFonts w:asciiTheme="minorHAnsi" w:hAnsiTheme="minorHAnsi" w:cstheme="minorHAnsi"/>
          <w:sz w:val="20"/>
          <w:szCs w:val="20"/>
          <w:vertAlign w:val="superscript"/>
        </w:rPr>
        <w:t>2</w:t>
      </w:r>
      <w:r w:rsidRPr="00AC0422">
        <w:rPr>
          <w:rFonts w:asciiTheme="minorHAnsi" w:hAnsiTheme="minorHAnsi" w:cstheme="minorHAnsi"/>
          <w:sz w:val="20"/>
          <w:szCs w:val="20"/>
        </w:rPr>
        <w:t xml:space="preserve">), an ecologically unique archipelago, with rich mangroves, coral reefs, and fisheries, and became a separate governorate in 2013. </w:t>
      </w:r>
    </w:p>
    <w:p w14:paraId="40E6EEF8" w14:textId="77777777" w:rsidR="009526AD" w:rsidRPr="00AC0422" w:rsidRDefault="009526AD" w:rsidP="009526AD">
      <w:pPr>
        <w:pStyle w:val="NormalWeb"/>
        <w:rPr>
          <w:rFonts w:asciiTheme="minorHAnsi" w:hAnsiTheme="minorHAnsi" w:cstheme="minorHAnsi"/>
          <w:sz w:val="20"/>
          <w:szCs w:val="20"/>
        </w:rPr>
      </w:pPr>
      <w:r w:rsidRPr="00AC0422">
        <w:rPr>
          <w:rFonts w:asciiTheme="minorHAnsi" w:hAnsiTheme="minorHAnsi" w:cstheme="minorHAnsi"/>
          <w:sz w:val="20"/>
          <w:szCs w:val="20"/>
        </w:rPr>
        <w:t>Yemen is highly vulnerable to climate change impacts, including droughts, floods, flash floods, sea level rise, cyclones and sea surges, heat and heat waves, and land degradation and desertification. These impacts and climate-induced hazards have caused significant consequences, such as loss of lives and livelihoods, infrastructure destruction, water scarcity, food insecurity, ecosystem damage, and disease outbreaks, which have hindered economic progress and setbacks in its Sustainable Development Goals</w:t>
      </w:r>
      <w:r w:rsidRPr="00AC0422">
        <w:rPr>
          <w:rStyle w:val="FootnoteReference"/>
          <w:rFonts w:asciiTheme="minorHAnsi" w:hAnsiTheme="minorHAnsi" w:cstheme="minorHAnsi"/>
          <w:sz w:val="20"/>
          <w:szCs w:val="20"/>
        </w:rPr>
        <w:footnoteReference w:id="3"/>
      </w:r>
      <w:r w:rsidRPr="00AC0422">
        <w:rPr>
          <w:rFonts w:asciiTheme="minorHAnsi" w:hAnsiTheme="minorHAnsi" w:cstheme="minorHAnsi"/>
          <w:sz w:val="20"/>
          <w:szCs w:val="20"/>
        </w:rPr>
        <w:t>. Recent research found that climate change in Yemen will adversely affect the health and nutrition of the population and will be responsible for over 121,000 deaths by 2060 and an estimated cumulative loss of $93 billion in gross domestic product (GDP) by 2060 if there is no action taken against climate change</w:t>
      </w:r>
      <w:r w:rsidRPr="00AC0422">
        <w:rPr>
          <w:rStyle w:val="FootnoteReference"/>
          <w:rFonts w:asciiTheme="minorHAnsi" w:hAnsiTheme="minorHAnsi" w:cstheme="minorHAnsi"/>
          <w:sz w:val="20"/>
          <w:szCs w:val="20"/>
        </w:rPr>
        <w:footnoteReference w:id="4"/>
      </w:r>
      <w:r w:rsidRPr="00AC0422">
        <w:rPr>
          <w:rFonts w:asciiTheme="minorHAnsi" w:hAnsiTheme="minorHAnsi" w:cstheme="minorHAnsi"/>
          <w:sz w:val="20"/>
          <w:szCs w:val="20"/>
        </w:rPr>
        <w:t>.</w:t>
      </w:r>
    </w:p>
    <w:p w14:paraId="766A7848" w14:textId="77777777" w:rsidR="009526AD" w:rsidRPr="00AC0422" w:rsidRDefault="009526AD" w:rsidP="009526AD">
      <w:pPr>
        <w:pStyle w:val="NormalWeb"/>
        <w:rPr>
          <w:rFonts w:asciiTheme="minorHAnsi" w:hAnsiTheme="minorHAnsi" w:cstheme="minorHAnsi"/>
          <w:sz w:val="20"/>
          <w:szCs w:val="20"/>
        </w:rPr>
      </w:pPr>
      <w:r w:rsidRPr="00AC0422">
        <w:rPr>
          <w:rFonts w:asciiTheme="minorHAnsi" w:hAnsiTheme="minorHAnsi" w:cstheme="minorHAnsi"/>
          <w:sz w:val="20"/>
          <w:szCs w:val="20"/>
        </w:rPr>
        <w:t>Yemen’s vulnerability to climate-induced hazards results from a combination of its geophysical characteristics, development challenges, socio-economic factors, and climate change impacts. These elements, both individually and collectively, increase the country’s exposure to risks, which are further worsened by the ongoing conflict that has persisted since 2014. Yemen faces a complex intersection of development, conflict, and climate change, with the conflict contributing to a humanitarian crisis that affects about 80% of households, limiting access to essential services and exacerbating existing vulnerabilities</w:t>
      </w:r>
      <w:r w:rsidRPr="00AC0422">
        <w:rPr>
          <w:rStyle w:val="FootnoteReference"/>
          <w:rFonts w:asciiTheme="minorHAnsi" w:hAnsiTheme="minorHAnsi" w:cstheme="minorHAnsi"/>
          <w:sz w:val="20"/>
          <w:szCs w:val="20"/>
        </w:rPr>
        <w:footnoteReference w:id="5"/>
      </w:r>
      <w:r w:rsidRPr="00AC0422">
        <w:rPr>
          <w:rFonts w:asciiTheme="minorHAnsi" w:hAnsiTheme="minorHAnsi" w:cstheme="minorHAnsi"/>
          <w:sz w:val="20"/>
          <w:szCs w:val="20"/>
        </w:rPr>
        <w:t xml:space="preserve">. </w:t>
      </w:r>
    </w:p>
    <w:p w14:paraId="6D955A57" w14:textId="77777777" w:rsidR="009526AD" w:rsidRPr="00AC0422" w:rsidRDefault="009526AD" w:rsidP="009526AD">
      <w:pPr>
        <w:pStyle w:val="NormalWeb"/>
        <w:rPr>
          <w:rFonts w:asciiTheme="minorHAnsi" w:hAnsiTheme="minorHAnsi" w:cstheme="minorHAnsi"/>
          <w:sz w:val="20"/>
          <w:szCs w:val="20"/>
        </w:rPr>
      </w:pPr>
      <w:r w:rsidRPr="00AC0422">
        <w:rPr>
          <w:rFonts w:asciiTheme="minorHAnsi" w:hAnsiTheme="minorHAnsi" w:cstheme="minorHAnsi"/>
          <w:sz w:val="20"/>
          <w:szCs w:val="20"/>
        </w:rPr>
        <w:t>Yemen has a tropical arid and semiarid climate along its coast and inland desert, and a subtropical and temperate climate in its highlands, with generally wide temperature ranges and two monsoonal rainy and dry seasons annually (Spring (March-May) and Summer (July-September)). Between 1971 and 2020, Yemen’s mean annual temperature increased by 0.42°C per decade, with large regional and seasonal differences accompanying a significantly increasing number of hot and humid days and nights.  During the same period, Yemen experienced a decrease in annual precipitation (−6.25 mm) per decade, though not significantly at a national level, and precipitation trends varied regionally and interannually.</w:t>
      </w:r>
    </w:p>
    <w:p w14:paraId="15B7A2EF"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Under climate change scenarios Yemen’s temperatures are projected to increase by 1.64°C to 27.02°C by mid-century</w:t>
      </w:r>
      <w:r w:rsidRPr="00AC0422">
        <w:rPr>
          <w:rStyle w:val="FootnoteReference"/>
          <w:rFonts w:asciiTheme="minorHAnsi" w:hAnsiTheme="minorHAnsi" w:cstheme="minorHAnsi"/>
          <w:szCs w:val="20"/>
        </w:rPr>
        <w:footnoteReference w:id="6"/>
      </w:r>
      <w:r w:rsidRPr="00AC0422">
        <w:rPr>
          <w:rFonts w:asciiTheme="minorHAnsi" w:hAnsiTheme="minorHAnsi" w:cstheme="minorHAnsi"/>
          <w:szCs w:val="20"/>
          <w:vertAlign w:val="superscript"/>
        </w:rPr>
        <w:t>,</w:t>
      </w:r>
      <w:r w:rsidRPr="00AC0422">
        <w:rPr>
          <w:rStyle w:val="FootnoteReference"/>
          <w:rFonts w:asciiTheme="minorHAnsi" w:hAnsiTheme="minorHAnsi" w:cstheme="minorHAnsi"/>
          <w:szCs w:val="20"/>
        </w:rPr>
        <w:footnoteReference w:id="7"/>
      </w:r>
      <w:r w:rsidRPr="00AC0422">
        <w:rPr>
          <w:rFonts w:asciiTheme="minorHAnsi" w:hAnsiTheme="minorHAnsi" w:cstheme="minorHAnsi"/>
          <w:szCs w:val="20"/>
        </w:rPr>
        <w:t xml:space="preserve">. Precipitation volumes are also expected to increase nationally by midcentury with seasonally and </w:t>
      </w:r>
      <w:r w:rsidRPr="00AC0422">
        <w:rPr>
          <w:rFonts w:asciiTheme="minorHAnsi" w:hAnsiTheme="minorHAnsi" w:cstheme="minorHAnsi"/>
          <w:szCs w:val="20"/>
        </w:rPr>
        <w:lastRenderedPageBreak/>
        <w:t xml:space="preserve">regionally distinct shifts with significant uncertainty. By midcentury there will be a large percent change in Yemen’s total precipitation amounts and an increase in extremes. All governorates except the easternmost are projected to be at least twice as likely to experience extreme events. Governorates in the </w:t>
      </w:r>
      <w:proofErr w:type="spellStart"/>
      <w:r w:rsidRPr="00AC0422">
        <w:rPr>
          <w:rFonts w:asciiTheme="minorHAnsi" w:hAnsiTheme="minorHAnsi" w:cstheme="minorHAnsi"/>
          <w:szCs w:val="20"/>
        </w:rPr>
        <w:t>Tihama</w:t>
      </w:r>
      <w:proofErr w:type="spellEnd"/>
      <w:r w:rsidRPr="00AC0422">
        <w:rPr>
          <w:rFonts w:asciiTheme="minorHAnsi" w:hAnsiTheme="minorHAnsi" w:cstheme="minorHAnsi"/>
          <w:szCs w:val="20"/>
        </w:rPr>
        <w:t xml:space="preserve"> and parts of the highlands are projected to experience the greatest percent increase in precipitation by midcentury, mostly during summer months while the central and southern highlands are expected to experience the biggest changes in average largest 5-day precipitation, with locally varying seasonal patterns. </w:t>
      </w:r>
    </w:p>
    <w:p w14:paraId="40F270E2" w14:textId="77777777" w:rsidR="009526AD" w:rsidRPr="00AC0422" w:rsidRDefault="009526AD" w:rsidP="009526AD">
      <w:pPr>
        <w:rPr>
          <w:rFonts w:asciiTheme="minorHAnsi" w:hAnsiTheme="minorHAnsi" w:cstheme="minorHAnsi"/>
          <w:szCs w:val="20"/>
        </w:rPr>
      </w:pPr>
    </w:p>
    <w:p w14:paraId="2FE16193"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These projected changes pose risks to interannual and long-term water resources management, agricultural production and food security, health, and critical infrastructure.  Sea level rise, inundation, and erosion will increasingly threaten Yemen’s coastline (</w:t>
      </w:r>
      <w:proofErr w:type="spellStart"/>
      <w:r w:rsidRPr="00AC0422">
        <w:rPr>
          <w:rFonts w:asciiTheme="minorHAnsi" w:hAnsiTheme="minorHAnsi" w:cstheme="minorHAnsi"/>
          <w:szCs w:val="20"/>
        </w:rPr>
        <w:t>Tihama</w:t>
      </w:r>
      <w:proofErr w:type="spellEnd"/>
      <w:r w:rsidRPr="00AC0422">
        <w:rPr>
          <w:rFonts w:asciiTheme="minorHAnsi" w:hAnsiTheme="minorHAnsi" w:cstheme="minorHAnsi"/>
          <w:szCs w:val="20"/>
        </w:rPr>
        <w:t xml:space="preserve"> and Socotra) by the end of the century. Flooding across all of Yemen’s main regions will likely continue occurring with greater intensity and frequency as will drought and related water scarcity.</w:t>
      </w:r>
    </w:p>
    <w:p w14:paraId="74690536" w14:textId="77777777" w:rsidR="009526AD" w:rsidRPr="00AC0422" w:rsidRDefault="009526AD" w:rsidP="009526AD">
      <w:pPr>
        <w:rPr>
          <w:rFonts w:asciiTheme="minorHAnsi" w:hAnsiTheme="minorHAnsi" w:cstheme="minorHAnsi"/>
          <w:szCs w:val="20"/>
        </w:rPr>
      </w:pPr>
    </w:p>
    <w:p w14:paraId="7BF9ED63" w14:textId="77777777" w:rsidR="009526AD" w:rsidRPr="00AC0422" w:rsidRDefault="009526AD" w:rsidP="009526AD">
      <w:pPr>
        <w:rPr>
          <w:rFonts w:asciiTheme="minorHAnsi" w:hAnsiTheme="minorHAnsi" w:cstheme="minorHAnsi"/>
          <w:b/>
          <w:bCs/>
          <w:szCs w:val="20"/>
        </w:rPr>
      </w:pPr>
      <w:r w:rsidRPr="00AC0422">
        <w:rPr>
          <w:rFonts w:asciiTheme="minorHAnsi" w:hAnsiTheme="minorHAnsi" w:cstheme="minorHAnsi"/>
          <w:b/>
          <w:bCs/>
          <w:szCs w:val="20"/>
        </w:rPr>
        <w:t>Development Context</w:t>
      </w:r>
      <w:r w:rsidRPr="00AC0422">
        <w:rPr>
          <w:rStyle w:val="FootnoteReference"/>
          <w:rFonts w:asciiTheme="minorHAnsi" w:hAnsiTheme="minorHAnsi" w:cstheme="minorHAnsi"/>
          <w:b/>
          <w:bCs/>
          <w:szCs w:val="20"/>
        </w:rPr>
        <w:footnoteReference w:id="8"/>
      </w:r>
    </w:p>
    <w:p w14:paraId="3E14EA13"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Yemen is one of the most vulnerable countries to climate change, yet one of the least prepared to address its impacts. According to the ND-</w:t>
      </w:r>
      <w:proofErr w:type="spellStart"/>
      <w:r w:rsidRPr="00AC0422">
        <w:rPr>
          <w:rFonts w:asciiTheme="minorHAnsi" w:hAnsiTheme="minorHAnsi" w:cstheme="minorHAnsi"/>
          <w:szCs w:val="20"/>
        </w:rPr>
        <w:t>GAIn</w:t>
      </w:r>
      <w:proofErr w:type="spellEnd"/>
      <w:r w:rsidRPr="00AC0422">
        <w:rPr>
          <w:rFonts w:asciiTheme="minorHAnsi" w:hAnsiTheme="minorHAnsi" w:cstheme="minorHAnsi"/>
          <w:szCs w:val="20"/>
        </w:rPr>
        <w:t xml:space="preserve"> Index (2022), Yemen ranks 171</w:t>
      </w:r>
      <w:r w:rsidRPr="00AC0422">
        <w:rPr>
          <w:rFonts w:asciiTheme="minorHAnsi" w:hAnsiTheme="minorHAnsi" w:cstheme="minorHAnsi"/>
          <w:szCs w:val="20"/>
          <w:vertAlign w:val="superscript"/>
        </w:rPr>
        <w:t>st</w:t>
      </w:r>
      <w:r w:rsidRPr="00AC0422">
        <w:rPr>
          <w:rFonts w:asciiTheme="minorHAnsi" w:hAnsiTheme="minorHAnsi" w:cstheme="minorHAnsi"/>
          <w:szCs w:val="20"/>
        </w:rPr>
        <w:t xml:space="preserve"> out of 181 countries for climate vulnerability, making it the 22</w:t>
      </w:r>
      <w:r w:rsidRPr="00AC0422">
        <w:rPr>
          <w:rFonts w:asciiTheme="minorHAnsi" w:hAnsiTheme="minorHAnsi" w:cstheme="minorHAnsi"/>
          <w:szCs w:val="20"/>
          <w:vertAlign w:val="superscript"/>
        </w:rPr>
        <w:t>nd</w:t>
      </w:r>
      <w:r w:rsidRPr="00AC0422">
        <w:rPr>
          <w:rFonts w:asciiTheme="minorHAnsi" w:hAnsiTheme="minorHAnsi" w:cstheme="minorHAnsi"/>
          <w:szCs w:val="20"/>
        </w:rPr>
        <w:t xml:space="preserve"> most vulnerable and the 12</w:t>
      </w:r>
      <w:r w:rsidRPr="00AC0422">
        <w:rPr>
          <w:rFonts w:asciiTheme="minorHAnsi" w:hAnsiTheme="minorHAnsi" w:cstheme="minorHAnsi"/>
          <w:szCs w:val="20"/>
          <w:vertAlign w:val="superscript"/>
        </w:rPr>
        <w:t>th</w:t>
      </w:r>
      <w:r w:rsidRPr="00AC0422">
        <w:rPr>
          <w:rFonts w:asciiTheme="minorHAnsi" w:hAnsiTheme="minorHAnsi" w:cstheme="minorHAnsi"/>
          <w:szCs w:val="20"/>
        </w:rPr>
        <w:t xml:space="preserve"> least ready country in the world. Despite its minimal contribution to the global GHG emissions, Yemen faces significant climate change risks, increasing the country’s vulnerability and exacerbating the country’s already fragile situation</w:t>
      </w:r>
      <w:r w:rsidRPr="00AC0422">
        <w:rPr>
          <w:rStyle w:val="FootnoteReference"/>
          <w:rFonts w:asciiTheme="minorHAnsi" w:hAnsiTheme="minorHAnsi" w:cstheme="minorHAnsi"/>
          <w:szCs w:val="20"/>
        </w:rPr>
        <w:footnoteReference w:id="9"/>
      </w:r>
      <w:r w:rsidRPr="00AC0422">
        <w:rPr>
          <w:rFonts w:asciiTheme="minorHAnsi" w:hAnsiTheme="minorHAnsi" w:cstheme="minorHAnsi"/>
          <w:szCs w:val="20"/>
        </w:rPr>
        <w:t>. Yemen has been embroiled in a civil conflict since 2015, which has devastated the country’s infrastructure, economy, and social services. The conflict has resulted in the collapse of central governance, a deepening humanitarian crisis, and the creation of a fractured state with multiple power centers. Political instability has severely hindered development progress in Yemen and has disrupted essential services across all sectors. The conflict has displaced millions of people, destroyed infrastructure, and diverted resources away from long-term development efforts toward immediate humanitarian needs. Today, Yemen’s food crisis is largely attributed to the ongoing crisis and the impacts of climate change. Since 2015, the country’s economy has been reduced by half, and over 80% of the population now lives below the poverty line, with 17.4 million people in need of urgent food assistance</w:t>
      </w:r>
      <w:r w:rsidRPr="00AC0422">
        <w:rPr>
          <w:rStyle w:val="FootnoteReference"/>
          <w:rFonts w:asciiTheme="minorHAnsi" w:hAnsiTheme="minorHAnsi" w:cstheme="minorHAnsi"/>
          <w:szCs w:val="20"/>
        </w:rPr>
        <w:footnoteReference w:id="10"/>
      </w:r>
      <w:r w:rsidRPr="00AC0422">
        <w:rPr>
          <w:rFonts w:asciiTheme="minorHAnsi" w:hAnsiTheme="minorHAnsi" w:cstheme="minorHAnsi"/>
          <w:szCs w:val="20"/>
        </w:rPr>
        <w:t>. The conflict has also exacerbated governance issues, leaving the country with weak institutions, a lack of coordination between central and local governments, and fragmented political control, limiting the state’s capacity to implement development policies and provide public services.</w:t>
      </w:r>
    </w:p>
    <w:p w14:paraId="43649F2A" w14:textId="77777777" w:rsidR="009526AD" w:rsidRPr="00AC0422" w:rsidRDefault="009526AD" w:rsidP="009526AD">
      <w:pPr>
        <w:rPr>
          <w:rFonts w:asciiTheme="minorHAnsi" w:hAnsiTheme="minorHAnsi" w:cstheme="minorHAnsi"/>
          <w:szCs w:val="20"/>
        </w:rPr>
      </w:pPr>
    </w:p>
    <w:p w14:paraId="063AD3F2"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 xml:space="preserve">The conflict has inflicted significant economic and social costs on the country and its people. From 2015 to 2023, the country experienced a staggering 54% contraction in real GDP per capita (USD 2124 per capita in 2014 to USD 976 per capita in 2023) (See Annex 1). Yemen’s economy was traditionally reliant on oil exports, agriculture, and remittances, but the war has crippled these sectors causing Yemen’s poverty rate to surge with more than 80% of the population) (approximately 24 million people) living below the poverty line (less than USD 2.15 per day, and in need of humanitarian assistance. More than 45% of the population lacks basic sanitation and more than 65% is living in moderate or severe food insecurity. </w:t>
      </w:r>
    </w:p>
    <w:p w14:paraId="19E19B8C" w14:textId="77777777" w:rsidR="009526AD" w:rsidRPr="00AC0422" w:rsidRDefault="009526AD" w:rsidP="009526AD">
      <w:pPr>
        <w:rPr>
          <w:rFonts w:asciiTheme="minorHAnsi" w:hAnsiTheme="minorHAnsi" w:cstheme="minorHAnsi"/>
          <w:szCs w:val="20"/>
        </w:rPr>
      </w:pPr>
    </w:p>
    <w:p w14:paraId="7F18F8E9"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The country has made limited progress in meeting the Sustainable Development Goals (SDGs), particularly in areas related to poverty reduction, education, gender equality, and health. Life expectancy, literacy rates, and access to education and healthcare are among the lowest in the region. Unemployment is high, especially among the youth (32.65%), who make up a large portion of the population. More than 54% of the employed identify as self-employed, and 29% are employed in agriculture.  Yemen ranks among the worst countries globally in terms of gender inequality (Gender Inequality Index (GII): 0.82; Gender Development Index (GDI): 0.496)</w:t>
      </w:r>
      <w:r w:rsidRPr="00AC0422">
        <w:rPr>
          <w:rStyle w:val="FootnoteReference"/>
          <w:rFonts w:asciiTheme="minorHAnsi" w:hAnsiTheme="minorHAnsi" w:cstheme="minorHAnsi"/>
          <w:szCs w:val="20"/>
        </w:rPr>
        <w:footnoteReference w:id="11"/>
      </w:r>
      <w:r w:rsidRPr="00AC0422">
        <w:rPr>
          <w:rFonts w:asciiTheme="minorHAnsi" w:hAnsiTheme="minorHAnsi" w:cstheme="minorHAnsi"/>
          <w:szCs w:val="20"/>
        </w:rPr>
        <w:t xml:space="preserve"> and women and girls face significant barriers to accessing education, healthcare, and employment. 63% of female employed are classified as vulnerable employment. The conflict and the impacts of climate change have increased the burden on women, who are often left to manage households and care for children under extremely challenging conditions.</w:t>
      </w:r>
    </w:p>
    <w:p w14:paraId="7C12058A" w14:textId="77777777" w:rsidR="009526AD" w:rsidRPr="00AC0422" w:rsidRDefault="009526AD" w:rsidP="009526AD">
      <w:pPr>
        <w:rPr>
          <w:rFonts w:asciiTheme="minorHAnsi" w:hAnsiTheme="minorHAnsi" w:cstheme="minorHAnsi"/>
          <w:szCs w:val="20"/>
        </w:rPr>
      </w:pPr>
    </w:p>
    <w:p w14:paraId="5A6B8BEC"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The conflict has resulted in widespread destruction of infrastructure, widespread and worsening displacement (2.5 million people in 2016 rising to 4.5 million in 2023), and the collapse of basic services. Yemen faces critical levels of food insecurity, with nearly half of the population suffering from acute food shortages. Disruption of agricultural production, combined with restricted imports of food and fuel due to blockades and the destruction of markets, has led to famine-like conditions in many parts of the country. Yemen’s healthcare system has been severely degraded by the conflict, with hospitals and clinics destroyed or functioning at limited capacity. This has led to outbreaks of diseases such as cholera and malnutrition, further compounding the country’s humanitarian crisis.</w:t>
      </w:r>
    </w:p>
    <w:p w14:paraId="6AE3C243" w14:textId="77777777" w:rsidR="009526AD" w:rsidRPr="00AC0422" w:rsidRDefault="009526AD" w:rsidP="009526AD">
      <w:pPr>
        <w:rPr>
          <w:rFonts w:asciiTheme="minorHAnsi" w:hAnsiTheme="minorHAnsi" w:cstheme="minorHAnsi"/>
          <w:szCs w:val="20"/>
        </w:rPr>
      </w:pPr>
    </w:p>
    <w:p w14:paraId="3EA062E6"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Yemen has one of the highest population growth rates in the world (2.4% annual average), with population growing by 6.7% since 2014 which places immense pressure on already scarce resources, especially water and arable land. Approximately 60% of Yemen’s population resides in rural areas and relies on agriculture for livelihoods. Climate-induced hazards such as droughts, floods, and soil degradation have a disproportionate impact on rural communities, as they depend on natural resources for survival. While Yemen’s urbanization rate is relatively low, migration from rural to urban areas has increased due to climate-induced agricultural failures and conflict. This rural-urban migration is leading to overcrowding in cities like Sana’a and Aden, which lack adequate infrastructure to support the growing population. Overcrowded cities face increased risks of water shortages, food insecurity, and disease outbreaks.</w:t>
      </w:r>
    </w:p>
    <w:p w14:paraId="29FEF43D" w14:textId="77777777" w:rsidR="009526AD" w:rsidRPr="00AC0422" w:rsidRDefault="009526AD" w:rsidP="009526AD">
      <w:pPr>
        <w:rPr>
          <w:rFonts w:asciiTheme="minorHAnsi" w:hAnsiTheme="minorHAnsi" w:cstheme="minorHAnsi"/>
          <w:szCs w:val="20"/>
        </w:rPr>
      </w:pPr>
    </w:p>
    <w:p w14:paraId="34EC841B"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Yemen's economic trajectory will be heavily shaped by future climate conditions and political developments. Under a pessimistic climate scenario marked by higher temperatures and extended droughts, annual GDP is anticipated to decline by an average of 3.9% by 2040 compared to baseline estimates.</w:t>
      </w:r>
      <w:r w:rsidRPr="00AC0422">
        <w:rPr>
          <w:rStyle w:val="FootnoteReference"/>
          <w:rFonts w:asciiTheme="minorHAnsi" w:hAnsiTheme="minorHAnsi" w:cstheme="minorHAnsi"/>
          <w:szCs w:val="20"/>
        </w:rPr>
        <w:footnoteReference w:id="12"/>
      </w:r>
      <w:r w:rsidRPr="00AC0422">
        <w:rPr>
          <w:rFonts w:asciiTheme="minorHAnsi" w:hAnsiTheme="minorHAnsi" w:cstheme="minorHAnsi"/>
          <w:szCs w:val="20"/>
        </w:rPr>
        <w:t xml:space="preserve"> This downturn is largely attributed to reduced agricultural output, declining fisheries, diminished labor productivity, and the deterioration of health and infrastructure systems. Conversely, an optimistic scenario featuring increased temperatures and precipitation could yield modest benefits, such as improved crop yields, with an average annual GDP growth of 1.5% by 2040, even without adaptation measures. However, this growth would fall short of significantly improving livelihoods.</w:t>
      </w:r>
    </w:p>
    <w:p w14:paraId="7094BF45" w14:textId="77777777" w:rsidR="009526AD" w:rsidRPr="00AC0422" w:rsidRDefault="009526AD" w:rsidP="009526AD">
      <w:pPr>
        <w:rPr>
          <w:rFonts w:asciiTheme="minorHAnsi" w:hAnsiTheme="minorHAnsi" w:cstheme="minorHAnsi"/>
          <w:szCs w:val="20"/>
        </w:rPr>
      </w:pPr>
    </w:p>
    <w:p w14:paraId="157AB481"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The extent of Yemen's vulnerability to climate change will depend on its political stability, policy framework, and investments in adaptation measures. Conflict undermines investment planning, restricts market access, and leads to piecemeal climate adaptation efforts within the scope of humanitarian aid. In contrast, a peaceful political environment fosters economic resilience through market diversification and enables targeted investments in climate adaptation. With sustained peace and well-structured adaptation strategies, Yemen’s GDP growth could surpass baseline projections by 2.6 percentage points, enhancing its capacity to address climate challenges effectively.</w:t>
      </w:r>
    </w:p>
    <w:p w14:paraId="1F6B64B3" w14:textId="77777777" w:rsidR="009526AD" w:rsidRPr="00AC0422" w:rsidRDefault="009526AD" w:rsidP="009526AD">
      <w:pPr>
        <w:rPr>
          <w:rFonts w:asciiTheme="minorHAnsi" w:hAnsiTheme="minorHAnsi" w:cstheme="minorHAnsi"/>
          <w:szCs w:val="20"/>
        </w:rPr>
      </w:pPr>
    </w:p>
    <w:p w14:paraId="7602E477"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Climate change is acting as a multiplier to Yemen’s complex and multifaceted development challenges and has the potential to seriously constrain the future of the country.  One recent study</w:t>
      </w:r>
      <w:r w:rsidRPr="00AC0422">
        <w:rPr>
          <w:rStyle w:val="FootnoteReference"/>
          <w:rFonts w:asciiTheme="minorHAnsi" w:hAnsiTheme="minorHAnsi" w:cstheme="minorHAnsi"/>
          <w:szCs w:val="20"/>
        </w:rPr>
        <w:footnoteReference w:id="13"/>
      </w:r>
      <w:r w:rsidRPr="00AC0422">
        <w:rPr>
          <w:rFonts w:asciiTheme="minorHAnsi" w:hAnsiTheme="minorHAnsi" w:cstheme="minorHAnsi"/>
          <w:szCs w:val="20"/>
        </w:rPr>
        <w:t xml:space="preserve"> found that the effects of climate change are likely to slow economic growth gradually, with a disproportionate effect on the poor with a cumulative $93 billion in gross domestic product (GDP) lost by 2060, by which point GDP would be 10 percent lower than in a No Climate Change scenario. The rate of extreme poverty would be more than 25% higher, as 8.1 million people would be pushed into poverty by 2060. By 2060, 3.8 million more people would suffer from malnutrition which would be responsible for over 121,000 deaths. The study also found that building resilience to the expected climate change would boost economic growth and result in cumulative gains of nearly $360 billion by 2060 and a GDP per capita that would be 27% greater. In addition, building resilience would result in 9.5 million fewer Yemenis in extreme poverty 13 million fewer suffering from malnutrition, and over 400,000 deaths averted from climate change-related and other causes by 2060.</w:t>
      </w:r>
    </w:p>
    <w:p w14:paraId="6803A755" w14:textId="77777777" w:rsidR="009526AD" w:rsidRPr="00AC0422" w:rsidRDefault="009526AD" w:rsidP="009526AD">
      <w:pPr>
        <w:rPr>
          <w:rFonts w:asciiTheme="minorHAnsi" w:hAnsiTheme="minorHAnsi" w:cstheme="minorHAnsi"/>
          <w:szCs w:val="20"/>
        </w:rPr>
      </w:pPr>
    </w:p>
    <w:p w14:paraId="6F375CB1" w14:textId="77777777" w:rsidR="009526AD" w:rsidRPr="00AC0422" w:rsidRDefault="009526AD" w:rsidP="009526AD">
      <w:pPr>
        <w:rPr>
          <w:rFonts w:asciiTheme="minorHAnsi" w:hAnsiTheme="minorHAnsi" w:cstheme="minorHAnsi"/>
          <w:b/>
          <w:bCs/>
          <w:szCs w:val="20"/>
        </w:rPr>
      </w:pPr>
      <w:r w:rsidRPr="00AC0422">
        <w:rPr>
          <w:rFonts w:asciiTheme="minorHAnsi" w:hAnsiTheme="minorHAnsi" w:cstheme="minorHAnsi"/>
          <w:b/>
          <w:bCs/>
          <w:szCs w:val="20"/>
        </w:rPr>
        <w:t>Sectoral Vulnerability to Climate Change</w:t>
      </w:r>
    </w:p>
    <w:p w14:paraId="39EBD2F5"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lastRenderedPageBreak/>
        <w:t>Yemen’s water resources sector is extremely vulnerable to climate change, facing intensified challenges from increased rainfall extremes, changing water availability, and persistent water scarcity. Yemen has one of the lowest per capita water availability rates globally, at just 65 m³, far below the 500 m³ threshold for severe water stress. Climate change amplifies these challenges, affecting water availability for agriculture, household use, sanitation, and ecological sustainability.  Yemen experiences periodic floods, particularly during the rainy season, which often devastate agricultural lands, washing away topsoil, crops, and infrastructure.</w:t>
      </w:r>
    </w:p>
    <w:p w14:paraId="2708E6FC" w14:textId="77777777" w:rsidR="009526AD" w:rsidRPr="00AC0422" w:rsidRDefault="009526AD" w:rsidP="009526AD">
      <w:pPr>
        <w:rPr>
          <w:rFonts w:asciiTheme="minorHAnsi" w:hAnsiTheme="minorHAnsi" w:cstheme="minorHAnsi"/>
          <w:szCs w:val="20"/>
          <w:lang w:val="en-GB"/>
        </w:rPr>
      </w:pPr>
      <w:r w:rsidRPr="00AC0422">
        <w:rPr>
          <w:rFonts w:asciiTheme="minorHAnsi" w:hAnsiTheme="minorHAnsi" w:cstheme="minorHAnsi"/>
          <w:szCs w:val="20"/>
          <w:lang w:val="en-GB"/>
        </w:rPr>
        <w:t>Fragmented water governance and lack of enforcement of existing water management policies further exacerbate the problem. Although Yemen has some water management policies, these policies are poorly enforced, and there is little coordination between national and local authorities. As a result, water allocation is often inequitable, and over-extraction of groundwater continues unchecked.</w:t>
      </w:r>
    </w:p>
    <w:p w14:paraId="1B920D31" w14:textId="77777777" w:rsidR="009526AD" w:rsidRPr="00AC0422" w:rsidRDefault="009526AD" w:rsidP="009526AD">
      <w:pPr>
        <w:rPr>
          <w:rFonts w:asciiTheme="minorHAnsi" w:hAnsiTheme="minorHAnsi" w:cstheme="minorHAnsi"/>
          <w:szCs w:val="20"/>
          <w:lang w:val="en-GB"/>
        </w:rPr>
      </w:pPr>
    </w:p>
    <w:p w14:paraId="4D10DAC1" w14:textId="77777777" w:rsidR="009526AD" w:rsidRPr="00AC0422" w:rsidRDefault="009526AD" w:rsidP="009526AD">
      <w:pPr>
        <w:rPr>
          <w:rFonts w:asciiTheme="minorHAnsi" w:hAnsiTheme="minorHAnsi" w:cstheme="minorHAnsi"/>
          <w:szCs w:val="20"/>
          <w:lang w:val="en-GB"/>
        </w:rPr>
      </w:pPr>
      <w:r w:rsidRPr="00AC0422">
        <w:rPr>
          <w:rFonts w:asciiTheme="minorHAnsi" w:hAnsiTheme="minorHAnsi" w:cstheme="minorHAnsi"/>
          <w:szCs w:val="20"/>
          <w:lang w:val="en-GB"/>
        </w:rPr>
        <w:t>Due to the ongoing conflict, the water sector is severely underfunded, limiting investment in infrastructure, maintenance, and modern irrigation systems that could improve water efficiency. There is limited public or private investment in water infrastructure projects and international aid is often directed towards humanitarian relief rather than long-term development projects, leaving little room for improving water infrastructure. Over 55% of Yemen’s population lacks access to clean drinking water, with more than 45% lacking basic sanitation facilities, affecting both the health and dignity of many households.</w:t>
      </w:r>
    </w:p>
    <w:p w14:paraId="1AA502AB" w14:textId="77777777" w:rsidR="009526AD" w:rsidRPr="00AC0422" w:rsidRDefault="009526AD" w:rsidP="009526AD">
      <w:pPr>
        <w:rPr>
          <w:rFonts w:asciiTheme="minorHAnsi" w:hAnsiTheme="minorHAnsi" w:cstheme="minorHAnsi"/>
          <w:szCs w:val="20"/>
          <w:lang w:val="en-GB"/>
        </w:rPr>
      </w:pPr>
    </w:p>
    <w:p w14:paraId="47642AD2" w14:textId="77777777" w:rsidR="009526AD" w:rsidRPr="00AC0422" w:rsidRDefault="009526AD" w:rsidP="009526AD">
      <w:pPr>
        <w:rPr>
          <w:rFonts w:asciiTheme="minorHAnsi" w:hAnsiTheme="minorHAnsi" w:cstheme="minorHAnsi"/>
          <w:szCs w:val="20"/>
          <w:lang w:val="en-GB"/>
        </w:rPr>
      </w:pPr>
      <w:r w:rsidRPr="00AC0422">
        <w:rPr>
          <w:rFonts w:asciiTheme="minorHAnsi" w:hAnsiTheme="minorHAnsi" w:cstheme="minorHAnsi"/>
          <w:szCs w:val="20"/>
          <w:lang w:val="en-GB"/>
        </w:rPr>
        <w:t xml:space="preserve">Many projects have been addressing the water management sector’s vulnerability to transform water resource management into an inclusive participatory and reconciliatory process. The UNDP </w:t>
      </w:r>
      <w:hyperlink r:id="rId16" w:history="1">
        <w:r w:rsidRPr="00AC0422">
          <w:rPr>
            <w:rStyle w:val="Hyperlink"/>
            <w:rFonts w:asciiTheme="minorHAnsi" w:hAnsiTheme="minorHAnsi" w:cstheme="minorHAnsi"/>
            <w:szCs w:val="20"/>
          </w:rPr>
          <w:t>Yemen’s Strengthening Institutional and Economic Resilience in Yemen (SIERY)</w:t>
        </w:r>
      </w:hyperlink>
      <w:r w:rsidRPr="00AC0422">
        <w:rPr>
          <w:rFonts w:asciiTheme="minorHAnsi" w:hAnsiTheme="minorHAnsi" w:cstheme="minorHAnsi"/>
          <w:szCs w:val="20"/>
          <w:lang w:val="en-GB"/>
        </w:rPr>
        <w:t xml:space="preserve"> Project was able to provide a total of 32 rainwater tanks in Al-</w:t>
      </w:r>
      <w:proofErr w:type="spellStart"/>
      <w:r w:rsidRPr="00AC0422">
        <w:rPr>
          <w:rFonts w:asciiTheme="minorHAnsi" w:hAnsiTheme="minorHAnsi" w:cstheme="minorHAnsi"/>
          <w:szCs w:val="20"/>
          <w:lang w:val="en-GB"/>
        </w:rPr>
        <w:t>Haymah</w:t>
      </w:r>
      <w:proofErr w:type="spellEnd"/>
      <w:r w:rsidRPr="00AC0422">
        <w:rPr>
          <w:rFonts w:asciiTheme="minorHAnsi" w:hAnsiTheme="minorHAnsi" w:cstheme="minorHAnsi"/>
          <w:szCs w:val="20"/>
          <w:lang w:val="en-GB"/>
        </w:rPr>
        <w:t>, Al-</w:t>
      </w:r>
      <w:proofErr w:type="spellStart"/>
      <w:r w:rsidRPr="00AC0422">
        <w:rPr>
          <w:rFonts w:asciiTheme="minorHAnsi" w:hAnsiTheme="minorHAnsi" w:cstheme="minorHAnsi"/>
          <w:szCs w:val="20"/>
          <w:lang w:val="en-GB"/>
        </w:rPr>
        <w:t>Kharijiha</w:t>
      </w:r>
      <w:proofErr w:type="spellEnd"/>
      <w:r w:rsidRPr="00AC0422">
        <w:rPr>
          <w:rFonts w:asciiTheme="minorHAnsi" w:hAnsiTheme="minorHAnsi" w:cstheme="minorHAnsi"/>
          <w:szCs w:val="20"/>
          <w:lang w:val="en-GB"/>
        </w:rPr>
        <w:t xml:space="preserve"> and </w:t>
      </w:r>
      <w:proofErr w:type="spellStart"/>
      <w:r w:rsidRPr="00AC0422">
        <w:rPr>
          <w:rFonts w:asciiTheme="minorHAnsi" w:hAnsiTheme="minorHAnsi" w:cstheme="minorHAnsi"/>
          <w:szCs w:val="20"/>
          <w:lang w:val="en-GB"/>
        </w:rPr>
        <w:t>Manakaha</w:t>
      </w:r>
      <w:proofErr w:type="spellEnd"/>
      <w:r w:rsidRPr="00AC0422">
        <w:rPr>
          <w:rFonts w:asciiTheme="minorHAnsi" w:hAnsiTheme="minorHAnsi" w:cstheme="minorHAnsi"/>
          <w:szCs w:val="20"/>
          <w:lang w:val="en-GB"/>
        </w:rPr>
        <w:t xml:space="preserve">. While the </w:t>
      </w:r>
      <w:hyperlink r:id="rId17" w:history="1">
        <w:r w:rsidRPr="00AC0422">
          <w:rPr>
            <w:rStyle w:val="Hyperlink"/>
            <w:rFonts w:asciiTheme="minorHAnsi" w:hAnsiTheme="minorHAnsi" w:cstheme="minorHAnsi"/>
            <w:szCs w:val="20"/>
          </w:rPr>
          <w:t>Emergency Social Protection Enhancement and COVID-19 Response Project (ESPECRP)</w:t>
        </w:r>
      </w:hyperlink>
      <w:r w:rsidRPr="00AC0422">
        <w:rPr>
          <w:rFonts w:asciiTheme="minorHAnsi" w:hAnsiTheme="minorHAnsi" w:cstheme="minorHAnsi"/>
          <w:szCs w:val="20"/>
          <w:lang w:val="en-GB"/>
        </w:rPr>
        <w:t xml:space="preserve"> has rehabilitated more than 56.6 </w:t>
      </w:r>
      <w:proofErr w:type="spellStart"/>
      <w:r w:rsidRPr="00AC0422">
        <w:rPr>
          <w:rFonts w:asciiTheme="minorHAnsi" w:hAnsiTheme="minorHAnsi" w:cstheme="minorHAnsi"/>
          <w:szCs w:val="20"/>
          <w:lang w:val="en-GB"/>
        </w:rPr>
        <w:t>kilometers</w:t>
      </w:r>
      <w:proofErr w:type="spellEnd"/>
      <w:r w:rsidRPr="00AC0422">
        <w:rPr>
          <w:rFonts w:asciiTheme="minorHAnsi" w:hAnsiTheme="minorHAnsi" w:cstheme="minorHAnsi"/>
          <w:szCs w:val="20"/>
          <w:lang w:val="en-GB"/>
        </w:rPr>
        <w:t xml:space="preserve"> of water supply. The </w:t>
      </w:r>
      <w:hyperlink r:id="rId18" w:anchor=":~:text=The%20project%20%E2%80%9CEnhancing%20Resilience%20through,demands%20for%20water%20ultimately%20turning" w:history="1">
        <w:r w:rsidRPr="00AC0422">
          <w:rPr>
            <w:rStyle w:val="Hyperlink"/>
            <w:rFonts w:asciiTheme="minorHAnsi" w:hAnsiTheme="minorHAnsi" w:cstheme="minorHAnsi"/>
            <w:szCs w:val="20"/>
          </w:rPr>
          <w:t>Enhancing Resilience through Sustainable Water Resource Management Project</w:t>
        </w:r>
      </w:hyperlink>
      <w:r w:rsidRPr="00AC0422">
        <w:rPr>
          <w:rFonts w:asciiTheme="minorHAnsi" w:hAnsiTheme="minorHAnsi" w:cstheme="minorHAnsi"/>
          <w:szCs w:val="20"/>
          <w:lang w:val="en-GB"/>
        </w:rPr>
        <w:t xml:space="preserve"> focuses on engaging across various communities, including with vulnerable groups, to address water demands, ultimately turning water resources into a driver for social cohesion and stabilization. The project works on enhancing the capacities of local water institutions and user associations to manage water resources in an inclusive, participatory, and transparent way to ensure that the environmental impact of using water resources is reduced to a minimum.</w:t>
      </w:r>
    </w:p>
    <w:p w14:paraId="68CB85D1" w14:textId="77777777" w:rsidR="009526AD" w:rsidRPr="00AC0422" w:rsidRDefault="009526AD" w:rsidP="009526AD">
      <w:pPr>
        <w:rPr>
          <w:rFonts w:asciiTheme="minorHAnsi" w:hAnsiTheme="minorHAnsi" w:cstheme="minorHAnsi"/>
          <w:szCs w:val="20"/>
          <w:lang w:val="en-GB"/>
        </w:rPr>
      </w:pPr>
    </w:p>
    <w:p w14:paraId="62D9805C"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 xml:space="preserve">Yemen’s agricultural sector, which provides 30% of employment and is a vital livelihood source for rural communities, is highly vulnerable to climate change. Rising temperatures, erratic precipitation, prolonged droughts, and extreme weather events like floods, are reducing crop yields and altering agricultural seasons. Key staple crops such as wheat, sorghum, and millet are becoming less viable due to changing climate conditions, compounded by land degradation and desertification from overuse and unsustainable practices, especially in </w:t>
      </w:r>
      <w:proofErr w:type="spellStart"/>
      <w:r w:rsidRPr="00AC0422">
        <w:rPr>
          <w:rFonts w:asciiTheme="minorHAnsi" w:hAnsiTheme="minorHAnsi" w:cstheme="minorHAnsi"/>
          <w:szCs w:val="20"/>
        </w:rPr>
        <w:t>Hadramaut</w:t>
      </w:r>
      <w:proofErr w:type="spellEnd"/>
      <w:r w:rsidRPr="00AC0422">
        <w:rPr>
          <w:rFonts w:asciiTheme="minorHAnsi" w:hAnsiTheme="minorHAnsi" w:cstheme="minorHAnsi"/>
          <w:szCs w:val="20"/>
        </w:rPr>
        <w:t xml:space="preserve"> and Al Mahra. Yemen's severe water scarcity further strains agriculture, as agriculture uses over 90% of water resources. Groundwater, the primary source of irrigation, is over-extracted, resulting in dropping water tables and drying wells, particularly in Sana’a Basin and Taiz.</w:t>
      </w:r>
    </w:p>
    <w:p w14:paraId="4D1E36AB" w14:textId="77777777" w:rsidR="009526AD" w:rsidRPr="00AC0422" w:rsidRDefault="009526AD" w:rsidP="009526AD">
      <w:pPr>
        <w:rPr>
          <w:rFonts w:asciiTheme="minorHAnsi" w:hAnsiTheme="minorHAnsi" w:cstheme="minorHAnsi"/>
          <w:szCs w:val="20"/>
        </w:rPr>
      </w:pPr>
    </w:p>
    <w:p w14:paraId="1B241185"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Agricultural productivity is also hindered by limited access to modern farming techniques, such as improved irrigation systems and fertilizers. The lack of extension services leaves farmers with minimal technical support, making them more vulnerable to climate impacts. Additionally, the ongoing conflict has displaced millions, destroyed essential infrastructure, and disrupted agricultural supply chains, leading to reduced food production and skyrocketing food prices. Land mines and unexploded ordnance have rendered large areas of farmland unsafe for cultivation.</w:t>
      </w:r>
    </w:p>
    <w:p w14:paraId="51C0D529" w14:textId="77777777" w:rsidR="009526AD" w:rsidRPr="00AC0422" w:rsidRDefault="009526AD" w:rsidP="009526AD">
      <w:pPr>
        <w:rPr>
          <w:rFonts w:asciiTheme="minorHAnsi" w:hAnsiTheme="minorHAnsi" w:cstheme="minorHAnsi"/>
          <w:szCs w:val="20"/>
        </w:rPr>
      </w:pPr>
    </w:p>
    <w:p w14:paraId="6DBE686C"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Yemen’s heavy dependence on food imports, especially staples like wheat and rice, increases its vulnerability to global market fluctuations and supply chain disruptions. Import difficulties, exacerbated by port blockades, currency collapse, and recent global crises, have led to frequent shortages and price hikes, pushing over 80% of Yemen’s population, who live below the poverty line, into deeper food insecurity. Yemen relies heavily on humanitarian aid, but conflict-related access issues often delay food distribution, worsening hunger, and malnutrition, especially among children. Poor sanitation, worsened by climate-driven droughts and floods, heightens the risk of waterborne diseases, compounding malnutrition in vulnerable populations.</w:t>
      </w:r>
    </w:p>
    <w:p w14:paraId="3CB8F1F8" w14:textId="77777777" w:rsidR="009526AD" w:rsidRPr="00AC0422" w:rsidRDefault="009526AD" w:rsidP="009526AD">
      <w:pPr>
        <w:rPr>
          <w:rFonts w:asciiTheme="minorHAnsi" w:hAnsiTheme="minorHAnsi" w:cstheme="minorHAnsi"/>
          <w:szCs w:val="20"/>
        </w:rPr>
      </w:pPr>
    </w:p>
    <w:p w14:paraId="1E277ECD"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lastRenderedPageBreak/>
        <w:t xml:space="preserve">The UNDP </w:t>
      </w:r>
      <w:hyperlink r:id="rId19" w:history="1">
        <w:r w:rsidRPr="00AC0422">
          <w:rPr>
            <w:rStyle w:val="Hyperlink"/>
            <w:rFonts w:asciiTheme="minorHAnsi" w:hAnsiTheme="minorHAnsi" w:cstheme="minorHAnsi"/>
            <w:szCs w:val="20"/>
          </w:rPr>
          <w:t>“Our Food Security Response and Resilience Project” (FSRRP)</w:t>
        </w:r>
      </w:hyperlink>
      <w:r w:rsidRPr="00AC0422">
        <w:rPr>
          <w:rFonts w:asciiTheme="minorHAnsi" w:hAnsiTheme="minorHAnsi" w:cstheme="minorHAnsi"/>
          <w:szCs w:val="20"/>
        </w:rPr>
        <w:t xml:space="preserve"> constructed and improved over 20 kilometers of irrigation canals, and the irrigation of nearly 5,300 hectares of agricultural lands. The project provides support to restore degraded agricultural land, improve water resource management, and promote climate-smart agricultural practices. Interventions are combating climate change and environmental degradation together with enhancing food security in the country, ultimately restoring nearly 4,000 hectares of farmlands. The Joint </w:t>
      </w:r>
      <w:proofErr w:type="spellStart"/>
      <w:r w:rsidRPr="00AC0422">
        <w:rPr>
          <w:rFonts w:asciiTheme="minorHAnsi" w:hAnsiTheme="minorHAnsi" w:cstheme="minorHAnsi"/>
          <w:szCs w:val="20"/>
        </w:rPr>
        <w:t>Programme</w:t>
      </w:r>
      <w:proofErr w:type="spellEnd"/>
      <w:r w:rsidRPr="00AC0422">
        <w:rPr>
          <w:rFonts w:asciiTheme="minorHAnsi" w:hAnsiTheme="minorHAnsi" w:cstheme="minorHAnsi"/>
          <w:szCs w:val="20"/>
        </w:rPr>
        <w:t xml:space="preserve"> called </w:t>
      </w:r>
      <w:hyperlink r:id="rId20" w:history="1">
        <w:r w:rsidRPr="00AC0422">
          <w:rPr>
            <w:rStyle w:val="Hyperlink"/>
            <w:rFonts w:asciiTheme="minorHAnsi" w:hAnsiTheme="minorHAnsi" w:cstheme="minorHAnsi"/>
            <w:szCs w:val="20"/>
          </w:rPr>
          <w:t xml:space="preserve">“Supporting Resilient Livelihoods, Food Security, and Climate Adaptation in Yemen (ERRY III) Joint </w:t>
        </w:r>
        <w:proofErr w:type="spellStart"/>
        <w:r w:rsidRPr="00AC0422">
          <w:rPr>
            <w:rStyle w:val="Hyperlink"/>
            <w:rFonts w:asciiTheme="minorHAnsi" w:hAnsiTheme="minorHAnsi" w:cstheme="minorHAnsi"/>
            <w:szCs w:val="20"/>
          </w:rPr>
          <w:t>Programme</w:t>
        </w:r>
        <w:proofErr w:type="spellEnd"/>
        <w:r w:rsidRPr="00AC0422">
          <w:rPr>
            <w:rStyle w:val="Hyperlink"/>
            <w:rFonts w:asciiTheme="minorHAnsi" w:hAnsiTheme="minorHAnsi" w:cstheme="minorHAnsi"/>
            <w:szCs w:val="20"/>
          </w:rPr>
          <w:t>”</w:t>
        </w:r>
      </w:hyperlink>
      <w:r w:rsidRPr="00AC0422">
        <w:rPr>
          <w:rFonts w:asciiTheme="minorHAnsi" w:hAnsiTheme="minorHAnsi" w:cstheme="minorHAnsi"/>
          <w:szCs w:val="20"/>
        </w:rPr>
        <w:t xml:space="preserve"> has restored 4.3 kilometers of irrigation channels, facilitating proper water distribution for farming activities. It has also restored 23 hectares of agricultural land across seven areas, focusing on land protection and reclamation.  </w:t>
      </w:r>
    </w:p>
    <w:p w14:paraId="6C3851CA" w14:textId="77777777" w:rsidR="009526AD" w:rsidRPr="00AC0422" w:rsidRDefault="009526AD" w:rsidP="009526AD">
      <w:pPr>
        <w:rPr>
          <w:rFonts w:asciiTheme="minorHAnsi" w:hAnsiTheme="minorHAnsi" w:cstheme="minorHAnsi"/>
          <w:szCs w:val="20"/>
          <w:lang w:val="en-GB"/>
        </w:rPr>
      </w:pPr>
      <w:r w:rsidRPr="00AC0422">
        <w:rPr>
          <w:rFonts w:asciiTheme="minorHAnsi" w:hAnsiTheme="minorHAnsi" w:cstheme="minorHAnsi"/>
          <w:szCs w:val="20"/>
          <w:lang w:val="en-GB"/>
        </w:rPr>
        <w:t xml:space="preserve">Sustaining water infrastructure is an integral aim for sustainable agriculture and food security in Yemen. The UNDP, through its </w:t>
      </w:r>
      <w:hyperlink r:id="rId21" w:history="1">
        <w:r w:rsidRPr="00AC0422">
          <w:rPr>
            <w:rStyle w:val="Hyperlink"/>
            <w:rFonts w:asciiTheme="minorHAnsi" w:hAnsiTheme="minorHAnsi" w:cstheme="minorHAnsi"/>
            <w:szCs w:val="20"/>
          </w:rPr>
          <w:t>Integrated Water Resources Management to Enhance the Resilience of Agriculture and Food Security Project</w:t>
        </w:r>
      </w:hyperlink>
      <w:r w:rsidRPr="00AC0422">
        <w:rPr>
          <w:rFonts w:asciiTheme="minorHAnsi" w:hAnsiTheme="minorHAnsi" w:cstheme="minorHAnsi"/>
          <w:szCs w:val="20"/>
          <w:lang w:val="en-GB"/>
        </w:rPr>
        <w:t>, is enhancing the livelihood resilience of local communities in Yemen by investing in water harvesting infrastructure and rehabilitating damaged community wells, canals, and flood protection areas, among other structures. The project also seeks to alleviate poverty by creating additional income-generating opportunities achieved by initiating small-value activities for agricultural products such as fruits and vegetables, milk products, edible oil seeds, milled rice, flour, tea, coffee, pulses, spices, honey, as well as enhancing equitable market accessibility to local communities. Implemented in four districts of Taiz and Lahj governorates, the project includes active involvement of community members in decision-making and contributes to increased livelihoods related to agriculture, benefitting over 70,000 individuals, including women, Internally Displaced Persons, and smallholder farmers.</w:t>
      </w:r>
    </w:p>
    <w:p w14:paraId="47A6B1FC" w14:textId="77777777" w:rsidR="009526AD" w:rsidRPr="00AC0422" w:rsidRDefault="009526AD" w:rsidP="009526AD">
      <w:pPr>
        <w:rPr>
          <w:rFonts w:asciiTheme="minorHAnsi" w:hAnsiTheme="minorHAnsi" w:cstheme="minorHAnsi"/>
          <w:szCs w:val="20"/>
          <w:lang w:val="en-GB"/>
        </w:rPr>
      </w:pPr>
    </w:p>
    <w:p w14:paraId="6106F746"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Yemen’s healthcare sector is highly vulnerable to the impacts of climate change, with rising temperatures, extreme weather events, and increased prevalence of climate-sensitive diseases exacerbating the already fragile health system. The ongoing conflict and socio-economic challenges further compound these issues, making Yemen one of the most vulnerable countries to climate-related health impacts.</w:t>
      </w:r>
    </w:p>
    <w:p w14:paraId="63491364" w14:textId="77777777" w:rsidR="009526AD" w:rsidRPr="00AC0422" w:rsidRDefault="009526AD" w:rsidP="009526AD">
      <w:pPr>
        <w:rPr>
          <w:rFonts w:asciiTheme="minorHAnsi" w:hAnsiTheme="minorHAnsi" w:cstheme="minorHAnsi"/>
          <w:szCs w:val="20"/>
        </w:rPr>
      </w:pPr>
    </w:p>
    <w:p w14:paraId="0579D0CD"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Over 50% of health facilities are non-functional or partially operational due to conflict-related damage, shortages of medical supplies, and displaced healthcare workers. The lack of emergency services and capacity to respond to extreme weather events such as floods, droughts, and heatwaves amplifies the health impacts.</w:t>
      </w:r>
    </w:p>
    <w:p w14:paraId="2D4C0A69"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Contaminated water sources increase the prevalence of diseases such as cholera, hepatitis A, and typhoid. Yemen has faced one of the world’s worst cholera outbreaks, with over 2.5 million cases reported since 2016. Flooding worsens poor sanitation by contaminating water supplies, accelerating disease outbreaks in densely populated urban areas and displacement camps while rising temperatures and changing rainfall patterns expand the habitats of disease vectors like mosquitoes, leading to increased cases of malaria and dengue fever, particularly in previously unaffected areas. Waterborne diseases, such as cholera, diarrhea, and dysentery, are exacerbated by water scarcity and poor sanitation. Ongoing droughts and reduced agricultural productivity worsen malnutrition, especially among children, weakening immune systems and increasing vulnerability to diseases like pneumonia, diarrhea, and malaria. Over 2.3 million children under five are severely malnourished, with many suffering from stunted growth and high mortality risks.</w:t>
      </w:r>
    </w:p>
    <w:p w14:paraId="593831FD" w14:textId="77777777" w:rsidR="009526AD" w:rsidRPr="00AC0422" w:rsidRDefault="009526AD" w:rsidP="009526AD">
      <w:pPr>
        <w:rPr>
          <w:rFonts w:asciiTheme="minorHAnsi" w:hAnsiTheme="minorHAnsi" w:cstheme="minorHAnsi"/>
          <w:szCs w:val="20"/>
        </w:rPr>
      </w:pPr>
    </w:p>
    <w:p w14:paraId="5BE29A90"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Displacement camps housing over 4 million people face overcrowding, poor sanitation, and inadequate healthcare, making them hotspots for infectious disease outbreaks. Vulnerable groups, including women, children, and the elderly, are disproportionately affected by heat waves, malnutrition, and lack of access to healthcare services. Rising temperatures and more frequent heatwaves lead to dehydration, heatstroke, and exacerbation of chronic conditions like cardiovascular and respiratory diseases, particularly in urban areas like Aden and Al Hudaydah.</w:t>
      </w:r>
    </w:p>
    <w:p w14:paraId="1F50767C" w14:textId="77777777" w:rsidR="009526AD" w:rsidRPr="00AC0422" w:rsidRDefault="009526AD" w:rsidP="009526AD">
      <w:pPr>
        <w:rPr>
          <w:rFonts w:asciiTheme="minorHAnsi" w:hAnsiTheme="minorHAnsi" w:cstheme="minorHAnsi"/>
          <w:szCs w:val="20"/>
        </w:rPr>
      </w:pPr>
    </w:p>
    <w:p w14:paraId="6CDE234C"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 xml:space="preserve">The key challenges such as a lack of Climate-Responsive Infrastructure means that there is an absence of robust forecasting and early warning systems which limits preparedness for health impacts from extreme weather. Widespread poverty limits affordability of the high healthcare costs which prevents many families from accessing treatment for climate-exacerbated diseases. An overburdened system characterized by poorly equipped health facilities and limited workforce capacity hinders effective responses to rising disease burdens and climate-related disasters. </w:t>
      </w:r>
    </w:p>
    <w:p w14:paraId="20FD19EA" w14:textId="77777777" w:rsidR="009526AD" w:rsidRPr="00AC0422" w:rsidRDefault="009526AD" w:rsidP="009526AD">
      <w:pPr>
        <w:rPr>
          <w:rFonts w:asciiTheme="minorHAnsi" w:hAnsiTheme="minorHAnsi" w:cstheme="minorHAnsi"/>
          <w:szCs w:val="20"/>
        </w:rPr>
      </w:pPr>
    </w:p>
    <w:p w14:paraId="28D7F0DD"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lastRenderedPageBreak/>
        <w:t xml:space="preserve">Strengthening Yemen’s health system, improving water and sanitation infrastructure, and addressing malnutrition are critical for mitigating the impacts of climate change on the health sector. Focused investment in emergency response, early warning systems, and climate-resilient health services is essential for building long-term resilience. </w:t>
      </w:r>
    </w:p>
    <w:p w14:paraId="7F40135E" w14:textId="77777777" w:rsidR="009526AD" w:rsidRPr="00AC0422" w:rsidRDefault="009526AD" w:rsidP="009526AD">
      <w:pPr>
        <w:rPr>
          <w:rFonts w:asciiTheme="minorHAnsi" w:hAnsiTheme="minorHAnsi" w:cstheme="minorHAnsi"/>
          <w:szCs w:val="20"/>
        </w:rPr>
      </w:pPr>
    </w:p>
    <w:p w14:paraId="5833E91E" w14:textId="77777777" w:rsidR="009526AD" w:rsidRPr="00AC0422" w:rsidRDefault="009526AD" w:rsidP="009526AD">
      <w:pPr>
        <w:rPr>
          <w:rFonts w:asciiTheme="minorHAnsi" w:hAnsiTheme="minorHAnsi" w:cstheme="minorHAnsi"/>
          <w:szCs w:val="20"/>
        </w:rPr>
      </w:pPr>
      <w:r w:rsidRPr="00AC0422">
        <w:rPr>
          <w:rFonts w:asciiTheme="minorHAnsi" w:hAnsiTheme="minorHAnsi" w:cstheme="minorHAnsi"/>
          <w:szCs w:val="20"/>
        </w:rPr>
        <w:t xml:space="preserve">UNDP’s </w:t>
      </w:r>
      <w:hyperlink r:id="rId22" w:history="1">
        <w:r w:rsidRPr="00AC0422">
          <w:rPr>
            <w:rStyle w:val="Hyperlink"/>
            <w:rFonts w:asciiTheme="minorHAnsi" w:hAnsiTheme="minorHAnsi" w:cstheme="minorHAnsi"/>
            <w:szCs w:val="20"/>
          </w:rPr>
          <w:t>Renewable Energy Improve Access to Health Services and Livelihood Opportunities (HEAL) Project</w:t>
        </w:r>
      </w:hyperlink>
      <w:r w:rsidRPr="00AC0422">
        <w:rPr>
          <w:rFonts w:asciiTheme="minorHAnsi" w:hAnsiTheme="minorHAnsi" w:cstheme="minorHAnsi"/>
          <w:szCs w:val="20"/>
        </w:rPr>
        <w:t xml:space="preserve"> is installing solar energy systems in four hospitals in Yemen, providing sustainable solutions to the electricity shortages that affect the operational ability of the country’s healthcare system. Through the project, solar energy systems have been installed in 39 public service facilities to enhance basic services.</w:t>
      </w:r>
    </w:p>
    <w:p w14:paraId="5A831A5C" w14:textId="77777777" w:rsidR="009526AD" w:rsidRPr="00AC0422" w:rsidRDefault="009526AD" w:rsidP="009526AD">
      <w:pPr>
        <w:rPr>
          <w:rFonts w:asciiTheme="minorHAnsi" w:hAnsiTheme="minorHAnsi" w:cstheme="minorHAnsi"/>
          <w:szCs w:val="20"/>
        </w:rPr>
      </w:pPr>
    </w:p>
    <w:p w14:paraId="72971BED"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Yemen’s coastal zone and fisheries sector face significant climate change challenges, including sea-level rise, coastal erosion, rising ocean temperatures, extreme weather events,</w:t>
      </w:r>
      <w:r w:rsidRPr="00AC0422">
        <w:rPr>
          <w:rFonts w:asciiTheme="minorHAnsi" w:hAnsiTheme="minorHAnsi" w:cstheme="minorHAnsi"/>
          <w:szCs w:val="20"/>
        </w:rPr>
        <w:t xml:space="preserve"> saltwater intrusion</w:t>
      </w:r>
      <w:r w:rsidRPr="00AC0422">
        <w:rPr>
          <w:rFonts w:asciiTheme="minorHAnsi" w:hAnsiTheme="minorHAnsi" w:cstheme="minorHAnsi"/>
          <w:szCs w:val="20"/>
          <w:lang w:val="en-GB"/>
        </w:rPr>
        <w:t xml:space="preserve"> and ocean acidification. These impacts threaten marine ecosystems, fisheries, infrastructure and the livelihoods of vulnerable coastal communities, many of whom rely heavily on fishing and related industries.</w:t>
      </w:r>
    </w:p>
    <w:p w14:paraId="2A175181" w14:textId="77777777" w:rsidR="009526AD" w:rsidRPr="00AC0422" w:rsidRDefault="009526AD" w:rsidP="009526AD">
      <w:pPr>
        <w:tabs>
          <w:tab w:val="num" w:pos="1440"/>
        </w:tabs>
        <w:spacing w:after="120"/>
        <w:ind w:right="-29"/>
        <w:rPr>
          <w:rFonts w:asciiTheme="minorHAnsi" w:hAnsiTheme="minorHAnsi" w:cstheme="minorHAnsi"/>
          <w:szCs w:val="20"/>
          <w:lang w:val="en-GB"/>
        </w:rPr>
      </w:pPr>
      <w:r w:rsidRPr="00AC0422">
        <w:rPr>
          <w:rFonts w:asciiTheme="minorHAnsi" w:hAnsiTheme="minorHAnsi" w:cstheme="minorHAnsi"/>
          <w:szCs w:val="20"/>
          <w:lang w:val="en-GB"/>
        </w:rPr>
        <w:t xml:space="preserve">Sea-level rise and coastal erosion threaten low-lying areas like the </w:t>
      </w:r>
      <w:proofErr w:type="spellStart"/>
      <w:r w:rsidRPr="00AC0422">
        <w:rPr>
          <w:rFonts w:asciiTheme="minorHAnsi" w:hAnsiTheme="minorHAnsi" w:cstheme="minorHAnsi"/>
          <w:szCs w:val="20"/>
          <w:lang w:val="en-GB"/>
        </w:rPr>
        <w:t>Tihama</w:t>
      </w:r>
      <w:proofErr w:type="spellEnd"/>
      <w:r w:rsidRPr="00AC0422">
        <w:rPr>
          <w:rFonts w:asciiTheme="minorHAnsi" w:hAnsiTheme="minorHAnsi" w:cstheme="minorHAnsi"/>
          <w:szCs w:val="20"/>
          <w:lang w:val="en-GB"/>
        </w:rPr>
        <w:t xml:space="preserve"> Plain and cities such as Al Hudaydah, Aden, and Al Mukalla which are at high risk of inundation and displacement. Ports, fishing </w:t>
      </w:r>
      <w:proofErr w:type="spellStart"/>
      <w:r w:rsidRPr="00AC0422">
        <w:rPr>
          <w:rFonts w:asciiTheme="minorHAnsi" w:hAnsiTheme="minorHAnsi" w:cstheme="minorHAnsi"/>
          <w:szCs w:val="20"/>
          <w:lang w:val="en-GB"/>
        </w:rPr>
        <w:t>harbors</w:t>
      </w:r>
      <w:proofErr w:type="spellEnd"/>
      <w:r w:rsidRPr="00AC0422">
        <w:rPr>
          <w:rFonts w:asciiTheme="minorHAnsi" w:hAnsiTheme="minorHAnsi" w:cstheme="minorHAnsi"/>
          <w:szCs w:val="20"/>
          <w:lang w:val="en-GB"/>
        </w:rPr>
        <w:t>, and coastal infrastructure are vulnerable to damage or submersion, disrupting fisheries, trade, and transport. Coastal erosion threatens natural ecosystems and reduces habitable and arable land, forcing communities to relocate.</w:t>
      </w:r>
    </w:p>
    <w:p w14:paraId="5B9E85D2"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Warmer seas due to rising ocean temperatures are causing coral bleaching, particularly around Socotra Island and the Red Sea, reducing marine biodiversity and fisheries productivity. Changes in sea temperatures affect fish migration, reproduction, and stocks of commercially important species like tuna, shrimp, and sardines, leading to reduced income and food insecurity. Degradation of critical ecosystems, including mangroves and seagrass beds, diminishes natural protections against storm surges and habitat loss for marine species.</w:t>
      </w:r>
    </w:p>
    <w:p w14:paraId="6B80BFD3" w14:textId="77777777" w:rsidR="009526AD" w:rsidRPr="00AC0422" w:rsidRDefault="009526AD" w:rsidP="009526AD">
      <w:pPr>
        <w:tabs>
          <w:tab w:val="num" w:pos="1440"/>
        </w:tabs>
        <w:spacing w:after="120"/>
        <w:ind w:right="-29"/>
        <w:rPr>
          <w:rFonts w:asciiTheme="minorHAnsi" w:hAnsiTheme="minorHAnsi" w:cstheme="minorHAnsi"/>
          <w:szCs w:val="20"/>
          <w:lang w:val="en-GB"/>
        </w:rPr>
      </w:pPr>
      <w:r w:rsidRPr="00AC0422">
        <w:rPr>
          <w:rFonts w:asciiTheme="minorHAnsi" w:hAnsiTheme="minorHAnsi" w:cstheme="minorHAnsi"/>
          <w:szCs w:val="20"/>
          <w:lang w:val="en-GB"/>
        </w:rPr>
        <w:t>Acidifying waters impact shellfish and marine species with calcium carbonate structures, such as crabs, lobsters, and shrimp, reducing their populations and further threatening food security and livelihoods. Disruptions in marine food chains reduce overall ecosystem productivity.</w:t>
      </w:r>
    </w:p>
    <w:p w14:paraId="454BE921"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Cyclones, storm surges, and heavy rainfall, such as Cyclones Chapala and Megh in 2015, cause widespread destruction to homes, fishing equipment, and infrastructure, displacing communities and disrupting fishing activities. Flooding contaminates freshwater resources, destroys agricultural land, and damages ecosystems such as mangroves and coral reefs.</w:t>
      </w:r>
    </w:p>
    <w:p w14:paraId="0C3B6AFD"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Coastal communities, among Yemen’s poorest, lack access to basic infrastructure, healthcare, and clean water, compounding their vulnerability to climate impacts. Limited livelihood diversification leaves fishing communities heavily reliant on declining fish stocks, increasing poverty and food insecurity, while the absence of early warning systems and disaster preparedness plans further hinders resilience and recovery from extreme weather events.</w:t>
      </w:r>
    </w:p>
    <w:p w14:paraId="5E8410C6" w14:textId="77777777" w:rsidR="009526AD" w:rsidRPr="00AC0422" w:rsidRDefault="009526AD" w:rsidP="009526AD">
      <w:pPr>
        <w:tabs>
          <w:tab w:val="num" w:pos="1440"/>
        </w:tabs>
        <w:spacing w:after="120"/>
        <w:ind w:right="-29"/>
        <w:rPr>
          <w:rFonts w:asciiTheme="minorHAnsi" w:hAnsiTheme="minorHAnsi" w:cstheme="minorHAnsi"/>
          <w:szCs w:val="20"/>
          <w:lang w:val="en-GB"/>
        </w:rPr>
      </w:pPr>
      <w:r w:rsidRPr="00AC0422">
        <w:rPr>
          <w:rFonts w:asciiTheme="minorHAnsi" w:hAnsiTheme="minorHAnsi" w:cstheme="minorHAnsi"/>
          <w:szCs w:val="20"/>
          <w:lang w:val="en-GB"/>
        </w:rPr>
        <w:t>Degradation of coastal ecosystems such as mangrove loss due to unsustainable practices and climate change, reduces protection from storm surges and erosion. Declining seagrass beds and coral reefs weaken marine biodiversity and fisheries, while also reducing natural coastal defences.</w:t>
      </w:r>
    </w:p>
    <w:p w14:paraId="0B8463DC"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 xml:space="preserve">Hence, climate change threatens the ecosystems that support Yemen’s fisheries and coastal communities, intensifying socio-economic vulnerabilities. Building resilience requires investment in coastal protection, ecosystem restoration, disaster preparedness, and livelihood diversification to protect these critical sectors and communities. UNDP’s </w:t>
      </w:r>
      <w:hyperlink r:id="rId23" w:anchor=":~:text=The%20project%20focuses%20on%20reviving,sustainable%20income%20generation%20and%20livelihood" w:history="1">
        <w:r w:rsidRPr="00AC0422">
          <w:rPr>
            <w:rStyle w:val="Hyperlink"/>
            <w:rFonts w:asciiTheme="minorHAnsi" w:hAnsiTheme="minorHAnsi" w:cstheme="minorHAnsi"/>
            <w:szCs w:val="20"/>
          </w:rPr>
          <w:t>Sustainable Fishery Development in the Red Sea and Gulf of Aden (SFISH) Project</w:t>
        </w:r>
      </w:hyperlink>
      <w:r w:rsidRPr="00AC0422">
        <w:rPr>
          <w:rFonts w:asciiTheme="minorHAnsi" w:hAnsiTheme="minorHAnsi" w:cstheme="minorHAnsi"/>
          <w:szCs w:val="20"/>
          <w:lang w:val="en-GB"/>
        </w:rPr>
        <w:t xml:space="preserve"> collaborates with local partners, fishery cooperatives, and the private sector to revive and effectively manage Yemen's fisheries sector. SFISH addresses overexploitation and unsustainable fishing practices, ensuring equitable access to resources and benefits. By fostering resilient marine environments, SFISH supports sustainable livelihoods, especially for vulnerable communities, women, and youth. Through the project, eco-friendly cold chain systems powered by renewable energy are being developed, and fish landing </w:t>
      </w:r>
      <w:proofErr w:type="spellStart"/>
      <w:r w:rsidRPr="00AC0422">
        <w:rPr>
          <w:rFonts w:asciiTheme="minorHAnsi" w:hAnsiTheme="minorHAnsi" w:cstheme="minorHAnsi"/>
          <w:szCs w:val="20"/>
          <w:lang w:val="en-GB"/>
        </w:rPr>
        <w:t>centers</w:t>
      </w:r>
      <w:proofErr w:type="spellEnd"/>
      <w:r w:rsidRPr="00AC0422">
        <w:rPr>
          <w:rFonts w:asciiTheme="minorHAnsi" w:hAnsiTheme="minorHAnsi" w:cstheme="minorHAnsi"/>
          <w:szCs w:val="20"/>
          <w:lang w:val="en-GB"/>
        </w:rPr>
        <w:t xml:space="preserve"> will be rehabilitated, including Aden's main fishing port. These efforts address post-harvest losses, ensure fish quality, and adhere to high environmental and social protection standards.</w:t>
      </w:r>
    </w:p>
    <w:p w14:paraId="70F79FEC"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 xml:space="preserve">Yemen is highly dependent on international aid to meet the basic needs of its population due to the ongoing conflict.  Climate change-driven events such as floods, droughts, heatwaves, and cyclones have exacerbated Yemen’s ongoing </w:t>
      </w:r>
      <w:r w:rsidRPr="00AC0422">
        <w:rPr>
          <w:rFonts w:asciiTheme="minorHAnsi" w:hAnsiTheme="minorHAnsi" w:cstheme="minorHAnsi"/>
          <w:b/>
          <w:bCs/>
          <w:szCs w:val="20"/>
          <w:lang w:val="en-GB"/>
        </w:rPr>
        <w:t>humanitarian</w:t>
      </w:r>
      <w:r w:rsidRPr="00AC0422">
        <w:rPr>
          <w:rFonts w:asciiTheme="minorHAnsi" w:hAnsiTheme="minorHAnsi" w:cstheme="minorHAnsi"/>
          <w:szCs w:val="20"/>
          <w:lang w:val="en-GB"/>
        </w:rPr>
        <w:t xml:space="preserve"> crisis, particularly in areas already suffering from conflict-related displacement. Floods displace tens of thousands of people, increasing the pressure on humanitarian organizations to provide </w:t>
      </w:r>
      <w:r w:rsidRPr="00AC0422">
        <w:rPr>
          <w:rFonts w:asciiTheme="minorHAnsi" w:hAnsiTheme="minorHAnsi" w:cstheme="minorHAnsi"/>
          <w:szCs w:val="20"/>
          <w:lang w:val="en-GB"/>
        </w:rPr>
        <w:lastRenderedPageBreak/>
        <w:t xml:space="preserve">shelter, food, clean water, and medical care. Humanitarian efforts in Yemen are often hampered by damaged infrastructure, with access to affected regions made difficult due to washed-out roads and bridges.  The humanitarian sector has struggled to respond to the dual crises of drought and conflict. Drought has worsened food insecurity, leading to a greater need for food aid and emergency water supplies. Humanitarian organizations, such as the World Food Programme (WFP), have had to significantly increase food aid distribution during drought periods. In 2020, over 12 million Yemenis were dependent on food aid, many of whom were in drought-affected regions like </w:t>
      </w:r>
      <w:proofErr w:type="spellStart"/>
      <w:r w:rsidRPr="00AC0422">
        <w:rPr>
          <w:rFonts w:asciiTheme="minorHAnsi" w:hAnsiTheme="minorHAnsi" w:cstheme="minorHAnsi"/>
          <w:szCs w:val="20"/>
          <w:lang w:val="en-GB"/>
        </w:rPr>
        <w:t>Sa’dah</w:t>
      </w:r>
      <w:proofErr w:type="spellEnd"/>
      <w:r w:rsidRPr="00AC0422">
        <w:rPr>
          <w:rFonts w:asciiTheme="minorHAnsi" w:hAnsiTheme="minorHAnsi" w:cstheme="minorHAnsi"/>
          <w:szCs w:val="20"/>
          <w:lang w:val="en-GB"/>
        </w:rPr>
        <w:t xml:space="preserve">, Amran, and </w:t>
      </w:r>
      <w:proofErr w:type="spellStart"/>
      <w:r w:rsidRPr="00AC0422">
        <w:rPr>
          <w:rFonts w:asciiTheme="minorHAnsi" w:hAnsiTheme="minorHAnsi" w:cstheme="minorHAnsi"/>
          <w:szCs w:val="20"/>
          <w:lang w:val="en-GB"/>
        </w:rPr>
        <w:t>Hodeidah</w:t>
      </w:r>
      <w:proofErr w:type="spellEnd"/>
      <w:r w:rsidRPr="00AC0422">
        <w:rPr>
          <w:rFonts w:asciiTheme="minorHAnsi" w:hAnsiTheme="minorHAnsi" w:cstheme="minorHAnsi"/>
          <w:szCs w:val="20"/>
          <w:lang w:val="en-GB"/>
        </w:rPr>
        <w:t>. Humanitarian efforts to provide clean water have been critical during droughts. Organizations such as Oxfam and the International Committee of the Red Cross (ICRC) have installed water points, provided water trucking services, and rehabilitated wells in rural and urban areas affected by water shortages.</w:t>
      </w:r>
      <w:r w:rsidRPr="00AC0422">
        <w:rPr>
          <w:rFonts w:asciiTheme="minorHAnsi" w:hAnsiTheme="minorHAnsi" w:cstheme="minorHAnsi"/>
          <w:vanish/>
          <w:szCs w:val="20"/>
          <w:lang w:val="en-GB"/>
        </w:rPr>
        <w:t>Top of Form</w:t>
      </w:r>
    </w:p>
    <w:p w14:paraId="66BF18FE" w14:textId="77777777" w:rsidR="009526AD" w:rsidRPr="00AC0422" w:rsidRDefault="009526AD" w:rsidP="009526AD">
      <w:pPr>
        <w:spacing w:before="100" w:beforeAutospacing="1" w:after="100" w:afterAutospacing="1"/>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Humanitarian organizations, including the International Committee of the Red Cross (ICRC) and United Nations Development Programme (UNDP), have provided emergency aid in the form of shelter, food, and clean water to displaced coastal populations who often live in overcrowded and under-resourced camps which often lack adequate sanitation, access to clean water, and healthcare, increasing the vulnerability of displaced populations to disease outbreaks and malnutrition. However, ongoing conflict and infrastructural damage make it difficult to reach all affected communities. </w:t>
      </w:r>
      <w:r w:rsidRPr="00AC0422">
        <w:rPr>
          <w:rFonts w:asciiTheme="minorHAnsi" w:hAnsiTheme="minorHAnsi" w:cstheme="minorHAnsi"/>
          <w:szCs w:val="20"/>
          <w:lang w:val="en-GB"/>
        </w:rPr>
        <w:t xml:space="preserve">Following Cyclone </w:t>
      </w:r>
      <w:proofErr w:type="spellStart"/>
      <w:r w:rsidRPr="00AC0422">
        <w:rPr>
          <w:rFonts w:asciiTheme="minorHAnsi" w:hAnsiTheme="minorHAnsi" w:cstheme="minorHAnsi"/>
          <w:szCs w:val="20"/>
          <w:lang w:val="en-GB"/>
        </w:rPr>
        <w:t>Luban</w:t>
      </w:r>
      <w:proofErr w:type="spellEnd"/>
      <w:r w:rsidRPr="00AC0422">
        <w:rPr>
          <w:rFonts w:asciiTheme="minorHAnsi" w:hAnsiTheme="minorHAnsi" w:cstheme="minorHAnsi"/>
          <w:szCs w:val="20"/>
          <w:lang w:val="en-GB"/>
        </w:rPr>
        <w:t xml:space="preserve"> (2018), humanitarian organizations such as the International Red Cross and the United Nations High Commissioner for Refugees (UNHCR) provided emergency shelters, food, and clean water to the displaced populations in Al Mahra and </w:t>
      </w:r>
      <w:proofErr w:type="spellStart"/>
      <w:r w:rsidRPr="00AC0422">
        <w:rPr>
          <w:rFonts w:asciiTheme="minorHAnsi" w:hAnsiTheme="minorHAnsi" w:cstheme="minorHAnsi"/>
          <w:szCs w:val="20"/>
          <w:lang w:val="en-GB"/>
        </w:rPr>
        <w:t>Hadramaut</w:t>
      </w:r>
      <w:proofErr w:type="spellEnd"/>
      <w:r w:rsidRPr="00AC0422">
        <w:rPr>
          <w:rFonts w:asciiTheme="minorHAnsi" w:hAnsiTheme="minorHAnsi" w:cstheme="minorHAnsi"/>
          <w:szCs w:val="20"/>
          <w:lang w:val="en-GB"/>
        </w:rPr>
        <w:t>. Cyclones have exacerbated food and water shortages, particularly in remote areas like Socotra and Al Mahra, where storm surges destroyed water wells and agricultural land. Humanitarian organizations have had to rely on water trucking and food aid to provide relief to affected populations.</w:t>
      </w:r>
    </w:p>
    <w:p w14:paraId="4C2EB6A4" w14:textId="77777777" w:rsidR="009526AD" w:rsidRPr="00AC0422" w:rsidRDefault="009526AD" w:rsidP="009526AD">
      <w:pPr>
        <w:rPr>
          <w:rFonts w:asciiTheme="minorHAnsi" w:hAnsiTheme="minorHAnsi" w:cstheme="minorHAnsi"/>
          <w:szCs w:val="20"/>
          <w:lang w:val="en-GB"/>
        </w:rPr>
      </w:pPr>
      <w:r w:rsidRPr="00AC0422">
        <w:rPr>
          <w:rFonts w:asciiTheme="minorHAnsi" w:hAnsiTheme="minorHAnsi" w:cstheme="minorHAnsi"/>
          <w:szCs w:val="20"/>
          <w:lang w:val="en-GB"/>
        </w:rPr>
        <w:t>In Aden, humanitarian organizations like the International Committee of the Red Cross (ICRC) have provided emergency water supplies and cooling shelters during heatwaves, but these services remain limited. Humanitarian agencies are often forced to truck in water to areas where local water sources have dried up. The cost of emergency water trucking during heatwaves has exceeded $5 million annually in some of the hardest-hit regions.</w:t>
      </w:r>
    </w:p>
    <w:p w14:paraId="3721A0C6" w14:textId="77777777" w:rsidR="009526AD" w:rsidRPr="00AC0422" w:rsidRDefault="009526AD" w:rsidP="009526AD">
      <w:pPr>
        <w:rPr>
          <w:rFonts w:asciiTheme="minorHAnsi" w:hAnsiTheme="minorHAnsi" w:cstheme="minorHAnsi"/>
          <w:szCs w:val="20"/>
          <w:lang w:val="en-GB"/>
        </w:rPr>
      </w:pPr>
    </w:p>
    <w:p w14:paraId="202194B0"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The United Nations and other humanitarian organizations provide critical assistance (net ODA of USD 3.3 Billion per year since 2014), including food, healthcare, and shelter, to millions of Yemenis. However, funding shortages, access restrictions due to the conflict, and logistical challenges hinder the delivery of aid to the most vulnerable populations. While humanitarian assistance is crucial for Yemen’s immediate survival, long-term development programs have been limited due to the conflict. Efforts to rebuild infrastructure, restore livelihoods, and strengthen institutions have been constrained by insecurity and political instability. However, international development organizations, including the World Bank, UNDP, and FAO, continue to engage in efforts to support recovery and resilience-building in Yemen.</w:t>
      </w:r>
    </w:p>
    <w:p w14:paraId="4351E5BA" w14:textId="77777777" w:rsidR="009526AD" w:rsidRPr="00AC0422" w:rsidRDefault="009526AD" w:rsidP="009526AD">
      <w:pPr>
        <w:spacing w:after="120"/>
        <w:ind w:right="-29"/>
        <w:rPr>
          <w:rFonts w:asciiTheme="minorHAnsi" w:hAnsiTheme="minorHAnsi" w:cstheme="minorHAnsi"/>
          <w:b/>
          <w:bCs/>
          <w:szCs w:val="20"/>
          <w:lang w:val="en-GB"/>
        </w:rPr>
      </w:pPr>
      <w:r w:rsidRPr="00AC0422">
        <w:rPr>
          <w:rFonts w:asciiTheme="minorHAnsi" w:hAnsiTheme="minorHAnsi" w:cstheme="minorHAnsi"/>
          <w:b/>
          <w:bCs/>
          <w:szCs w:val="20"/>
          <w:lang w:val="en-GB"/>
        </w:rPr>
        <w:t>Sectoral Adaptation priorities</w:t>
      </w:r>
    </w:p>
    <w:p w14:paraId="37E6D67B"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 xml:space="preserve">Despite the significant challenges posed by Yemen’s ongoing conflict, economic instability, and institutional weaknesses, several steps have been taken to support adaptation planning to date.  Yemen’s government with the help of development partners has developed relevant </w:t>
      </w:r>
      <w:r w:rsidRPr="00AC0422">
        <w:rPr>
          <w:rFonts w:asciiTheme="minorHAnsi" w:hAnsiTheme="minorHAnsi" w:cstheme="minorHAnsi"/>
          <w:b/>
          <w:bCs/>
          <w:szCs w:val="20"/>
          <w:lang w:val="en-GB"/>
        </w:rPr>
        <w:t>policy</w:t>
      </w:r>
      <w:r w:rsidRPr="00AC0422">
        <w:rPr>
          <w:rFonts w:asciiTheme="minorHAnsi" w:hAnsiTheme="minorHAnsi" w:cstheme="minorHAnsi"/>
          <w:szCs w:val="20"/>
          <w:lang w:val="en-GB"/>
        </w:rPr>
        <w:t xml:space="preserve"> documents which set out the adaptation priorities for the main climate change-impacted sectors. The key documents are </w:t>
      </w:r>
      <w:hyperlink r:id="rId24">
        <w:r w:rsidRPr="00AC0422">
          <w:rPr>
            <w:rStyle w:val="Hyperlink"/>
            <w:rFonts w:asciiTheme="minorHAnsi" w:hAnsiTheme="minorHAnsi" w:cstheme="minorHAnsi"/>
            <w:szCs w:val="20"/>
          </w:rPr>
          <w:t xml:space="preserve">Yemen’s National Adaptation </w:t>
        </w:r>
        <w:proofErr w:type="spellStart"/>
        <w:r w:rsidRPr="00AC0422">
          <w:rPr>
            <w:rStyle w:val="Hyperlink"/>
            <w:rFonts w:asciiTheme="minorHAnsi" w:hAnsiTheme="minorHAnsi" w:cstheme="minorHAnsi"/>
            <w:szCs w:val="20"/>
          </w:rPr>
          <w:t>Programme</w:t>
        </w:r>
        <w:proofErr w:type="spellEnd"/>
        <w:r w:rsidRPr="00AC0422">
          <w:rPr>
            <w:rStyle w:val="Hyperlink"/>
            <w:rFonts w:asciiTheme="minorHAnsi" w:hAnsiTheme="minorHAnsi" w:cstheme="minorHAnsi"/>
            <w:szCs w:val="20"/>
          </w:rPr>
          <w:t xml:space="preserve"> of Action</w:t>
        </w:r>
      </w:hyperlink>
      <w:r w:rsidRPr="00AC0422">
        <w:rPr>
          <w:rFonts w:asciiTheme="minorHAnsi" w:hAnsiTheme="minorHAnsi" w:cstheme="minorHAnsi"/>
          <w:szCs w:val="20"/>
          <w:lang w:val="en-GB"/>
        </w:rPr>
        <w:t xml:space="preserve"> (NAPA, 2009), </w:t>
      </w:r>
      <w:hyperlink r:id="rId25">
        <w:r w:rsidRPr="00AC0422">
          <w:rPr>
            <w:rStyle w:val="Hyperlink"/>
            <w:rFonts w:asciiTheme="minorHAnsi" w:hAnsiTheme="minorHAnsi" w:cstheme="minorHAnsi"/>
            <w:szCs w:val="20"/>
          </w:rPr>
          <w:t>Intended Nationally Determined Contribution</w:t>
        </w:r>
      </w:hyperlink>
      <w:r w:rsidRPr="00AC0422">
        <w:rPr>
          <w:rFonts w:asciiTheme="minorHAnsi" w:hAnsiTheme="minorHAnsi" w:cstheme="minorHAnsi"/>
          <w:szCs w:val="20"/>
          <w:lang w:val="en-GB"/>
        </w:rPr>
        <w:t xml:space="preserve"> (INDC, 2015), </w:t>
      </w:r>
      <w:hyperlink r:id="rId26">
        <w:r w:rsidRPr="00AC0422">
          <w:rPr>
            <w:rStyle w:val="Hyperlink"/>
            <w:rFonts w:asciiTheme="minorHAnsi" w:hAnsiTheme="minorHAnsi" w:cstheme="minorHAnsi"/>
            <w:szCs w:val="20"/>
          </w:rPr>
          <w:t>National Water Sector Strategy and Investment Program</w:t>
        </w:r>
      </w:hyperlink>
      <w:r w:rsidRPr="00AC0422">
        <w:rPr>
          <w:rFonts w:asciiTheme="minorHAnsi" w:hAnsiTheme="minorHAnsi" w:cstheme="minorHAnsi"/>
          <w:szCs w:val="20"/>
          <w:lang w:val="en-GB"/>
        </w:rPr>
        <w:t xml:space="preserve"> (NWSSIP), and </w:t>
      </w:r>
      <w:hyperlink r:id="rId27">
        <w:r w:rsidRPr="00AC0422">
          <w:rPr>
            <w:rStyle w:val="Hyperlink"/>
            <w:rFonts w:asciiTheme="minorHAnsi" w:hAnsiTheme="minorHAnsi" w:cstheme="minorHAnsi"/>
            <w:szCs w:val="20"/>
          </w:rPr>
          <w:t>Yemen’s Third National Communication</w:t>
        </w:r>
      </w:hyperlink>
      <w:r w:rsidRPr="00AC0422">
        <w:rPr>
          <w:rFonts w:asciiTheme="minorHAnsi" w:hAnsiTheme="minorHAnsi" w:cstheme="minorHAnsi"/>
          <w:szCs w:val="20"/>
          <w:lang w:val="en-GB"/>
        </w:rPr>
        <w:t xml:space="preserve"> (TNC, 2018) to the UNFCCC. In addition, the draft </w:t>
      </w:r>
      <w:hyperlink r:id="rId28">
        <w:r w:rsidRPr="00AC0422">
          <w:rPr>
            <w:rStyle w:val="Hyperlink"/>
            <w:rFonts w:asciiTheme="minorHAnsi" w:hAnsiTheme="minorHAnsi" w:cstheme="minorHAnsi"/>
            <w:szCs w:val="20"/>
          </w:rPr>
          <w:t xml:space="preserve">Yemen Country Finance Country </w:t>
        </w:r>
        <w:proofErr w:type="spellStart"/>
        <w:r w:rsidRPr="00AC0422">
          <w:rPr>
            <w:rStyle w:val="Hyperlink"/>
            <w:rFonts w:asciiTheme="minorHAnsi" w:hAnsiTheme="minorHAnsi" w:cstheme="minorHAnsi"/>
            <w:szCs w:val="20"/>
          </w:rPr>
          <w:t>Programme</w:t>
        </w:r>
        <w:proofErr w:type="spellEnd"/>
      </w:hyperlink>
      <w:r w:rsidRPr="00AC0422">
        <w:rPr>
          <w:rFonts w:asciiTheme="minorHAnsi" w:hAnsiTheme="minorHAnsi" w:cstheme="minorHAnsi"/>
          <w:szCs w:val="20"/>
          <w:lang w:val="en-GB"/>
        </w:rPr>
        <w:t xml:space="preserve"> lists a number of adaptation measures that it is prioritizing for GCF and other finance, and </w:t>
      </w:r>
      <w:hyperlink r:id="rId29">
        <w:r w:rsidRPr="00AC0422">
          <w:rPr>
            <w:rStyle w:val="Hyperlink"/>
            <w:rFonts w:asciiTheme="minorHAnsi" w:hAnsiTheme="minorHAnsi" w:cstheme="minorHAnsi"/>
            <w:szCs w:val="20"/>
          </w:rPr>
          <w:t>Yemen’s Technology Needs Assessment</w:t>
        </w:r>
      </w:hyperlink>
      <w:r w:rsidRPr="00AC0422">
        <w:rPr>
          <w:rFonts w:asciiTheme="minorHAnsi" w:hAnsiTheme="minorHAnsi" w:cstheme="minorHAnsi"/>
          <w:szCs w:val="20"/>
          <w:lang w:val="en-GB"/>
        </w:rPr>
        <w:t xml:space="preserve"> (TNA) report outlines CCA technologies by sector.</w:t>
      </w:r>
    </w:p>
    <w:p w14:paraId="2DBEF238" w14:textId="77777777" w:rsidR="009526AD" w:rsidRPr="00AC0422" w:rsidRDefault="009526AD" w:rsidP="009526AD">
      <w:pPr>
        <w:spacing w:after="120"/>
        <w:ind w:right="-29"/>
        <w:rPr>
          <w:rFonts w:asciiTheme="minorHAnsi" w:hAnsiTheme="minorHAnsi" w:cstheme="minorHAnsi"/>
          <w:szCs w:val="20"/>
          <w:lang w:val="en-GB"/>
        </w:rPr>
      </w:pPr>
      <w:r w:rsidRPr="00AC0422">
        <w:rPr>
          <w:rFonts w:asciiTheme="minorHAnsi" w:hAnsiTheme="minorHAnsi" w:cstheme="minorHAnsi"/>
          <w:szCs w:val="20"/>
          <w:lang w:val="en-GB"/>
        </w:rPr>
        <w:t xml:space="preserve">The national and sub-national adaptation priorities for the main sectors impacted by climate change (water resources, agriculture, health, coastal zone) are as follows: </w:t>
      </w:r>
    </w:p>
    <w:p w14:paraId="115F1767" w14:textId="77777777" w:rsidR="009526AD" w:rsidRPr="00AC0422" w:rsidRDefault="009526AD" w:rsidP="009526AD">
      <w:pPr>
        <w:widowControl w:val="0"/>
        <w:autoSpaceDE w:val="0"/>
        <w:autoSpaceDN w:val="0"/>
        <w:rPr>
          <w:rFonts w:asciiTheme="minorHAnsi" w:hAnsiTheme="minorHAnsi" w:cstheme="minorHAnsi"/>
          <w:szCs w:val="20"/>
          <w:lang w:val="en-GB"/>
        </w:rPr>
      </w:pPr>
      <w:r w:rsidRPr="00AC0422">
        <w:rPr>
          <w:rFonts w:asciiTheme="minorHAnsi" w:hAnsiTheme="minorHAnsi" w:cstheme="minorHAnsi"/>
          <w:szCs w:val="20"/>
          <w:lang w:val="en-GB"/>
        </w:rPr>
        <w:t xml:space="preserve">Water resource management is at the heart of Yemen’s climate change adaptation strategy. The national and sub-national priorities identified by government agencies, development partners, and other stakeholders aim to address chronic water scarcity, improve agricultural productivity, and build resilience to climate-induced droughts and floods. Yemen’s stated water sector adaptation priorities focus on Sustainable Water Management, Water Infrastructure Development, and Climate-Resilient Agricultural Practices. The expected </w:t>
      </w:r>
      <w:r w:rsidRPr="00AC0422">
        <w:rPr>
          <w:rFonts w:asciiTheme="minorHAnsi" w:hAnsiTheme="minorHAnsi" w:cstheme="minorHAnsi"/>
          <w:szCs w:val="20"/>
          <w:lang w:val="en-GB"/>
        </w:rPr>
        <w:lastRenderedPageBreak/>
        <w:t>outcomes of these interventions include enhanced water security, poverty reduction, improved health outcomes, and strengthened livelihoods for millions of Yemenis. However, successful implementation will depend on political stability, adequate financing, and effective governance.</w:t>
      </w:r>
    </w:p>
    <w:p w14:paraId="081181B8" w14:textId="77777777" w:rsidR="009526AD" w:rsidRPr="00AC0422" w:rsidRDefault="009526AD" w:rsidP="009526AD">
      <w:pPr>
        <w:widowControl w:val="0"/>
        <w:autoSpaceDE w:val="0"/>
        <w:autoSpaceDN w:val="0"/>
        <w:rPr>
          <w:rFonts w:asciiTheme="minorHAnsi" w:hAnsiTheme="minorHAnsi" w:cstheme="minorHAnsi"/>
          <w:szCs w:val="20"/>
          <w:lang w:val="en-GB"/>
        </w:rPr>
      </w:pPr>
    </w:p>
    <w:p w14:paraId="74648F18" w14:textId="3B07940D" w:rsidR="009526AD" w:rsidRPr="00AC0422" w:rsidRDefault="009526AD" w:rsidP="009526AD">
      <w:pPr>
        <w:widowControl w:val="0"/>
        <w:autoSpaceDE w:val="0"/>
        <w:autoSpaceDN w:val="0"/>
        <w:rPr>
          <w:rFonts w:asciiTheme="minorHAnsi" w:hAnsiTheme="minorHAnsi" w:cstheme="minorHAnsi"/>
          <w:szCs w:val="20"/>
          <w:lang w:val="en-GB"/>
        </w:rPr>
      </w:pPr>
      <w:r w:rsidRPr="00AC0422">
        <w:rPr>
          <w:rFonts w:asciiTheme="minorHAnsi" w:hAnsiTheme="minorHAnsi" w:cstheme="minorHAnsi"/>
          <w:szCs w:val="20"/>
          <w:lang w:val="en-GB"/>
        </w:rPr>
        <w:t>Adapting Yemen’s agricultural sector to climate change is essential for improving food security, reducing poverty, and enhancing the resilience of rural livelihoods. National and sub-national priorities focus on promoting climate-smart agriculture, sustainable land and water management, and building the capacity of farmers to cope with climate risks. The priority adaptation interventions aim to rehabilitate degraded land, improve water use efficiency, and increase agricultural productivity. Yemen’s climate adaptation priorities for agriculture focus on building resilience to water scarcity, improving agricultural productivity, and promoting sustainable land management practices. The expected outcomes include enhanced food security, poverty reduction, and environmental sustainability, benefiting millions of rural households in Yemen.</w:t>
      </w:r>
    </w:p>
    <w:p w14:paraId="396E218D" w14:textId="2CC79908" w:rsidR="009526AD" w:rsidRPr="00AC0422" w:rsidRDefault="009526AD" w:rsidP="00AC0422">
      <w:pPr>
        <w:widowControl w:val="0"/>
        <w:autoSpaceDE w:val="0"/>
        <w:autoSpaceDN w:val="0"/>
        <w:rPr>
          <w:rFonts w:asciiTheme="minorHAnsi" w:hAnsiTheme="minorHAnsi" w:cstheme="minorHAnsi"/>
          <w:szCs w:val="20"/>
          <w:lang w:val="en-GB"/>
        </w:rPr>
      </w:pPr>
      <w:r w:rsidRPr="00AC0422">
        <w:rPr>
          <w:rFonts w:asciiTheme="minorHAnsi" w:hAnsiTheme="minorHAnsi" w:cstheme="minorHAnsi"/>
          <w:szCs w:val="20"/>
          <w:lang w:val="en-GB"/>
        </w:rPr>
        <w:t>Yemen’s health sector faces immense challenges that are exacerbated by climate change, but through targeted adaptation interventions, the country can strengthen its healthcare system and protect vulnerable communities from climate-related health risks. National and sub-national priorities focus on building climate-resilient healthcare infrastructure, strengthening disease surveillance and early warning systems, and improving emergency preparedness, which aims to save lives, reduce poverty, and enhance Yemen’s overall resilience to the health impacts of climate change.</w:t>
      </w:r>
    </w:p>
    <w:p w14:paraId="03341561" w14:textId="00468760" w:rsidR="009526AD" w:rsidRPr="00AC0422" w:rsidRDefault="009526AD" w:rsidP="009526AD">
      <w:pPr>
        <w:rPr>
          <w:rFonts w:asciiTheme="minorHAnsi" w:hAnsiTheme="minorHAnsi" w:cstheme="minorHAnsi"/>
          <w:szCs w:val="20"/>
          <w:lang w:val="en-GB"/>
        </w:rPr>
      </w:pPr>
      <w:r w:rsidRPr="00AC0422">
        <w:rPr>
          <w:rFonts w:asciiTheme="minorHAnsi" w:hAnsiTheme="minorHAnsi" w:cstheme="minorHAnsi"/>
          <w:szCs w:val="20"/>
          <w:lang w:val="en-GB"/>
        </w:rPr>
        <w:t>Adapting Yemen’s coastal zone and fisheries sector to climate change is crucial for protecting coastal ecosystems, ensuring the sustainability of fish stocks, and safeguarding the livelihoods of coastal communities. National and sub-national priorities focus on restoring marine ecosystems, promoting sustainable fisheries management, and building climate-resilient infrastructure. These interventions, supported by government agencies, international donors, NGOs, and academic institutions, aim to reduce coastal vulnerability, enhance livelihoods, and improve community resilience to climate-related hazards. The expected outcomes include improved ecosystem health, poverty reduction, income generation, and disaster preparedness, benefiting millions of people across Yemen’s coastal regions.</w:t>
      </w:r>
    </w:p>
    <w:p w14:paraId="2403C882" w14:textId="2CC41B95" w:rsidR="009526AD" w:rsidRPr="00AC0422" w:rsidRDefault="009526AD" w:rsidP="009526AD">
      <w:pPr>
        <w:ind w:right="-29"/>
        <w:rPr>
          <w:rFonts w:asciiTheme="minorHAnsi" w:hAnsiTheme="minorHAnsi" w:cstheme="minorHAnsi"/>
          <w:szCs w:val="20"/>
          <w:lang w:val="en-GB"/>
        </w:rPr>
      </w:pPr>
      <w:proofErr w:type="gramStart"/>
      <w:r w:rsidRPr="00AC0422">
        <w:rPr>
          <w:rFonts w:asciiTheme="minorHAnsi" w:hAnsiTheme="minorHAnsi" w:cstheme="minorHAnsi"/>
          <w:szCs w:val="20"/>
          <w:lang w:val="en-GB"/>
        </w:rPr>
        <w:t>In order to</w:t>
      </w:r>
      <w:proofErr w:type="gramEnd"/>
      <w:r w:rsidRPr="00AC0422">
        <w:rPr>
          <w:rFonts w:asciiTheme="minorHAnsi" w:hAnsiTheme="minorHAnsi" w:cstheme="minorHAnsi"/>
          <w:szCs w:val="20"/>
          <w:lang w:val="en-GB"/>
        </w:rPr>
        <w:t xml:space="preserve"> advance adaptation planning, the government of Yemen designated Ministry of Water and Environment as the lead in NAP coordination, adaptation policy development and The Environmental Protection Authority (EPA) the designated focal point for climate change adaptation planning and coordination, is responsible for monitoring and implementing environmental adaptation measures and overseeing climate data management on the governorate level. The National Climate Change Committee (NCCC) was officially launched in 2009 and updated in 2023, with responsibility to oversee the Climate Change Coordination Mechanism (CCCM), which consists of three levels: (</w:t>
      </w:r>
      <w:proofErr w:type="spellStart"/>
      <w:r w:rsidRPr="00AC0422">
        <w:rPr>
          <w:rFonts w:asciiTheme="minorHAnsi" w:hAnsiTheme="minorHAnsi" w:cstheme="minorHAnsi"/>
          <w:szCs w:val="20"/>
          <w:lang w:val="en-GB"/>
        </w:rPr>
        <w:t>i</w:t>
      </w:r>
      <w:proofErr w:type="spellEnd"/>
      <w:r w:rsidRPr="00AC0422">
        <w:rPr>
          <w:rFonts w:asciiTheme="minorHAnsi" w:hAnsiTheme="minorHAnsi" w:cstheme="minorHAnsi"/>
          <w:szCs w:val="20"/>
          <w:lang w:val="en-GB"/>
        </w:rPr>
        <w:t>) The high level Climate Change Committee (referred to as the Council or Board) chaired by the Minister of Planning and International Cooperation or by the Minister of Water and Environment; (ii) The Technical Committee  (TCCC) chaired by the EPA Chairman; and, (iii) the Sub-technical Committees, one of which is specialized on Climate Change Adaptation and DRR and DRM. Other Sub-technical Committees support low GHG emission development. The Sub-technical Committees are working groups consisting of technical professionals from different Governmental and Non-Governmental Organizations and entities. The Sub-technical Committees are intended to guide the Technical Committee and the Climate Change Unit on technical climate change adaptation and mitigation items and issues. The Climate Change Unit serves as the Executive Secretariat to the CCCM and is the UNFCCC Focal Point. While the structure of the CCCM has been endorsed by the Government, only the CCU has been established</w:t>
      </w:r>
      <w:r w:rsidRPr="00AC0422">
        <w:rPr>
          <w:rStyle w:val="FootnoteReference"/>
          <w:rFonts w:asciiTheme="minorHAnsi" w:hAnsiTheme="minorHAnsi" w:cstheme="minorHAnsi"/>
          <w:szCs w:val="20"/>
          <w:lang w:val="en-GB"/>
        </w:rPr>
        <w:footnoteReference w:id="14"/>
      </w:r>
      <w:r w:rsidRPr="00AC0422">
        <w:rPr>
          <w:rFonts w:asciiTheme="minorHAnsi" w:hAnsiTheme="minorHAnsi" w:cstheme="minorHAnsi"/>
          <w:szCs w:val="20"/>
          <w:lang w:val="en-GB"/>
        </w:rPr>
        <w:t>.</w:t>
      </w:r>
    </w:p>
    <w:p w14:paraId="070A09E8" w14:textId="7A62F553" w:rsidR="009526AD" w:rsidRPr="00AC0422" w:rsidRDefault="009526AD" w:rsidP="009526AD">
      <w:pPr>
        <w:ind w:right="-29"/>
        <w:rPr>
          <w:rFonts w:asciiTheme="minorHAnsi" w:hAnsiTheme="minorHAnsi" w:cstheme="minorHAnsi"/>
          <w:szCs w:val="20"/>
          <w:lang w:val="en-GB"/>
        </w:rPr>
      </w:pPr>
      <w:r w:rsidRPr="00AC0422">
        <w:rPr>
          <w:rFonts w:asciiTheme="minorHAnsi" w:hAnsiTheme="minorHAnsi" w:cstheme="minorHAnsi"/>
          <w:szCs w:val="20"/>
          <w:lang w:val="en-GB"/>
        </w:rPr>
        <w:t xml:space="preserve">The Government of Yemen leverages partnerships with international organisations such as UNDP, FAO and bilateral governments to support adaptation planning, capacity building, and project implementation (Annex 2 provides a list of adaptation priorities that have been completed from 2010 to date).  Progress in adaptation planning has been achieved mainly through donor-funded development partner-implemented projects. Under these initiatives, </w:t>
      </w:r>
      <w:r w:rsidRPr="00AC0422">
        <w:rPr>
          <w:rFonts w:asciiTheme="minorHAnsi" w:hAnsiTheme="minorHAnsi" w:cstheme="minorHAnsi"/>
          <w:b/>
          <w:bCs/>
          <w:szCs w:val="20"/>
          <w:lang w:val="en-GB"/>
        </w:rPr>
        <w:t>training programs</w:t>
      </w:r>
      <w:r w:rsidRPr="00AC0422">
        <w:rPr>
          <w:rFonts w:asciiTheme="minorHAnsi" w:hAnsiTheme="minorHAnsi" w:cstheme="minorHAnsi"/>
          <w:szCs w:val="20"/>
          <w:lang w:val="en-GB"/>
        </w:rPr>
        <w:t xml:space="preserve"> have been implemented for government officials and local stakeholders who have been trained in climate risk assessments, early warning systems, and adaptive agriculture practices. Data Collection and analysis have been advanced through international partnerships (e.g., WMO, FAO) which have improved access to satellite-based climate data and made efforts to modernize meteorological and hydrological networks to improve climate monitoring and forecasting. Climate finance has mainly been through international and bilateral funding which have provided financial and technical support for adaptation projects. GCF Readiness </w:t>
      </w:r>
      <w:r w:rsidRPr="00AC0422">
        <w:rPr>
          <w:rFonts w:asciiTheme="minorHAnsi" w:hAnsiTheme="minorHAnsi" w:cstheme="minorHAnsi"/>
          <w:szCs w:val="20"/>
          <w:lang w:val="en-GB"/>
        </w:rPr>
        <w:lastRenderedPageBreak/>
        <w:t>Support to date has focused on preparing Yemen’s institutions to access climate finance and develop a pipeline of adaptation projects.  Progress in Monitoring and Reporting is done through Yemen’s National Communications (TNC was submitted in 2018 and FNC currently under preparation) which detail its adaptation progress, climate vulnerabilities, and proposed measures as well as project-based M&amp;E which is done through donor-funded projects which incorporate localized monitoring systems to track adaptation outcomes and gather lessons learned.</w:t>
      </w:r>
    </w:p>
    <w:p w14:paraId="305E3035" w14:textId="416A6358" w:rsidR="009526AD" w:rsidRPr="00AC0422" w:rsidRDefault="009526AD" w:rsidP="00AC0422">
      <w:pPr>
        <w:ind w:right="-29"/>
        <w:rPr>
          <w:rStyle w:val="DefaultText"/>
          <w:rFonts w:asciiTheme="minorHAnsi" w:hAnsiTheme="minorHAnsi" w:cstheme="minorHAnsi"/>
          <w:sz w:val="20"/>
          <w:szCs w:val="20"/>
          <w:lang w:val="en-GB"/>
        </w:rPr>
      </w:pPr>
      <w:r w:rsidRPr="00AC0422">
        <w:rPr>
          <w:rFonts w:asciiTheme="minorHAnsi" w:hAnsiTheme="minorHAnsi" w:cstheme="minorHAnsi"/>
          <w:szCs w:val="20"/>
          <w:lang w:val="en-GB"/>
        </w:rPr>
        <w:t>While Yemen has made progress in adaptation planning through strategic frameworks, institutional developments, and donor-supported projects, scaling up these efforts requires strengthening governance, building technical capacity, and ensuring sustainable financing. The National Adaptation Plan (NAP) process to be established by this proposed project will provide a critical opportunity to address these gaps, enhance coordination, and align Yemen’s adaptation priorities with long-term development goals.</w:t>
      </w:r>
    </w:p>
    <w:p w14:paraId="286C2631" w14:textId="77777777" w:rsidR="009526AD" w:rsidRPr="00AC0422" w:rsidRDefault="009526AD" w:rsidP="005D2C02">
      <w:pPr>
        <w:pStyle w:val="ListParagraph"/>
        <w:numPr>
          <w:ilvl w:val="1"/>
          <w:numId w:val="23"/>
        </w:numPr>
        <w:tabs>
          <w:tab w:val="left" w:pos="720"/>
          <w:tab w:val="left" w:pos="7200"/>
        </w:tabs>
        <w:spacing w:after="120"/>
        <w:contextualSpacing/>
        <w:jc w:val="both"/>
        <w:rPr>
          <w:rFonts w:asciiTheme="minorHAnsi" w:hAnsiTheme="minorHAnsi" w:cstheme="minorHAnsi"/>
          <w:b/>
          <w:color w:val="2F5496" w:themeColor="accent1" w:themeShade="BF"/>
          <w:sz w:val="20"/>
          <w:szCs w:val="20"/>
        </w:rPr>
      </w:pPr>
      <w:r w:rsidRPr="00AC0422">
        <w:rPr>
          <w:rFonts w:asciiTheme="minorHAnsi" w:hAnsiTheme="minorHAnsi" w:cstheme="minorHAnsi"/>
          <w:b/>
          <w:color w:val="2F5496" w:themeColor="accent1" w:themeShade="BF"/>
          <w:sz w:val="20"/>
          <w:szCs w:val="20"/>
        </w:rPr>
        <w:t>Institutional and Policy Framework</w:t>
      </w:r>
    </w:p>
    <w:p w14:paraId="5801DD79" w14:textId="77777777" w:rsidR="009526AD" w:rsidRPr="00AC0422" w:rsidRDefault="009526AD" w:rsidP="009526AD">
      <w:pPr>
        <w:spacing w:after="120"/>
        <w:rPr>
          <w:rFonts w:asciiTheme="minorHAnsi" w:hAnsiTheme="minorHAnsi" w:cstheme="minorHAnsi"/>
          <w:b/>
          <w:bCs/>
          <w:szCs w:val="20"/>
        </w:rPr>
      </w:pPr>
      <w:proofErr w:type="spellStart"/>
      <w:r w:rsidRPr="00AC0422">
        <w:rPr>
          <w:rFonts w:asciiTheme="minorHAnsi" w:hAnsiTheme="minorHAnsi" w:cstheme="minorHAnsi"/>
          <w:b/>
          <w:bCs/>
          <w:szCs w:val="20"/>
        </w:rPr>
        <w:t>i</w:t>
      </w:r>
      <w:proofErr w:type="spellEnd"/>
      <w:r w:rsidRPr="00AC0422">
        <w:rPr>
          <w:rFonts w:asciiTheme="minorHAnsi" w:hAnsiTheme="minorHAnsi" w:cstheme="minorHAnsi"/>
          <w:b/>
          <w:bCs/>
          <w:szCs w:val="20"/>
        </w:rPr>
        <w:t>) Policy Framework</w:t>
      </w:r>
    </w:p>
    <w:p w14:paraId="5A9A4339" w14:textId="77777777" w:rsidR="009526AD" w:rsidRPr="00AC0422" w:rsidRDefault="009526AD" w:rsidP="009526AD">
      <w:pPr>
        <w:pStyle w:val="BodyText"/>
        <w:rPr>
          <w:rFonts w:asciiTheme="minorHAnsi" w:hAnsiTheme="minorHAnsi" w:cstheme="minorHAnsi"/>
          <w:i w:val="0"/>
          <w:iCs w:val="0"/>
          <w:szCs w:val="20"/>
        </w:rPr>
      </w:pPr>
      <w:r w:rsidRPr="00AC0422">
        <w:rPr>
          <w:rFonts w:asciiTheme="minorHAnsi" w:hAnsiTheme="minorHAnsi" w:cstheme="minorHAnsi"/>
          <w:i w:val="0"/>
          <w:iCs w:val="0"/>
          <w:szCs w:val="20"/>
        </w:rPr>
        <w:t>Yemen’s policy and legislative framework for climate change adaptation is guided by its international commitments, national policies, sectoral adaptation strategies, and key institutional mechanisms. This section discusses Yemen’s existing national and sectoral policies, plans, and legislative measures for climate change adaptation, focusing on the legal instruments, strategies, institutional frameworks, and key areas of focus for adaptation based on a review of existing policy documents</w:t>
      </w:r>
      <w:r w:rsidRPr="00AC0422">
        <w:rPr>
          <w:rStyle w:val="FootnoteReference"/>
          <w:rFonts w:asciiTheme="minorHAnsi" w:hAnsiTheme="minorHAnsi" w:cstheme="minorHAnsi"/>
          <w:i w:val="0"/>
          <w:iCs w:val="0"/>
          <w:szCs w:val="20"/>
        </w:rPr>
        <w:footnoteReference w:id="15"/>
      </w:r>
      <w:r w:rsidRPr="00AC0422">
        <w:rPr>
          <w:rFonts w:asciiTheme="minorHAnsi" w:hAnsiTheme="minorHAnsi" w:cstheme="minorHAnsi"/>
          <w:i w:val="0"/>
          <w:iCs w:val="0"/>
          <w:szCs w:val="20"/>
          <w:vertAlign w:val="superscript"/>
        </w:rPr>
        <w:t>,</w:t>
      </w:r>
      <w:r w:rsidRPr="00AC0422">
        <w:rPr>
          <w:rStyle w:val="FootnoteReference"/>
          <w:rFonts w:asciiTheme="minorHAnsi" w:hAnsiTheme="minorHAnsi" w:cstheme="minorHAnsi"/>
          <w:i w:val="0"/>
          <w:iCs w:val="0"/>
          <w:szCs w:val="20"/>
        </w:rPr>
        <w:footnoteReference w:id="16"/>
      </w:r>
      <w:r w:rsidRPr="00AC0422">
        <w:rPr>
          <w:rFonts w:asciiTheme="minorHAnsi" w:hAnsiTheme="minorHAnsi" w:cstheme="minorHAnsi"/>
          <w:i w:val="0"/>
          <w:iCs w:val="0"/>
          <w:szCs w:val="20"/>
          <w:vertAlign w:val="superscript"/>
        </w:rPr>
        <w:t>,</w:t>
      </w:r>
      <w:r w:rsidRPr="00AC0422">
        <w:rPr>
          <w:rStyle w:val="FootnoteReference"/>
          <w:rFonts w:asciiTheme="minorHAnsi" w:hAnsiTheme="minorHAnsi" w:cstheme="minorHAnsi"/>
          <w:i w:val="0"/>
          <w:iCs w:val="0"/>
          <w:szCs w:val="20"/>
        </w:rPr>
        <w:footnoteReference w:id="17"/>
      </w:r>
      <w:r w:rsidRPr="00AC0422">
        <w:rPr>
          <w:rFonts w:asciiTheme="minorHAnsi" w:hAnsiTheme="minorHAnsi" w:cstheme="minorHAnsi"/>
          <w:i w:val="0"/>
          <w:iCs w:val="0"/>
          <w:szCs w:val="20"/>
          <w:vertAlign w:val="superscript"/>
        </w:rPr>
        <w:t>,</w:t>
      </w:r>
      <w:r w:rsidRPr="00AC0422">
        <w:rPr>
          <w:rStyle w:val="FootnoteReference"/>
          <w:rFonts w:asciiTheme="minorHAnsi" w:hAnsiTheme="minorHAnsi" w:cstheme="minorHAnsi"/>
          <w:i w:val="0"/>
          <w:iCs w:val="0"/>
          <w:szCs w:val="20"/>
        </w:rPr>
        <w:footnoteReference w:id="18"/>
      </w:r>
      <w:r w:rsidRPr="00AC0422">
        <w:rPr>
          <w:rFonts w:asciiTheme="minorHAnsi" w:hAnsiTheme="minorHAnsi" w:cstheme="minorHAnsi"/>
          <w:i w:val="0"/>
          <w:iCs w:val="0"/>
          <w:szCs w:val="20"/>
        </w:rPr>
        <w:t>.</w:t>
      </w:r>
    </w:p>
    <w:p w14:paraId="6B11BA7F" w14:textId="77777777" w:rsidR="009526AD" w:rsidRPr="00AC0422" w:rsidRDefault="009526AD" w:rsidP="009526AD">
      <w:pPr>
        <w:spacing w:after="120"/>
        <w:rPr>
          <w:rFonts w:asciiTheme="minorHAnsi" w:hAnsiTheme="minorHAnsi" w:cstheme="minorHAnsi"/>
          <w:b/>
          <w:bCs/>
          <w:szCs w:val="20"/>
        </w:rPr>
      </w:pPr>
      <w:bookmarkStart w:id="6" w:name="_Toc179490080"/>
      <w:r w:rsidRPr="00AC0422">
        <w:rPr>
          <w:rFonts w:asciiTheme="minorHAnsi" w:hAnsiTheme="minorHAnsi" w:cstheme="minorHAnsi"/>
          <w:b/>
          <w:bCs/>
          <w:szCs w:val="20"/>
        </w:rPr>
        <w:t>International Commitments</w:t>
      </w:r>
      <w:bookmarkEnd w:id="6"/>
    </w:p>
    <w:p w14:paraId="222C7D58" w14:textId="77777777" w:rsidR="009526AD" w:rsidRPr="00AC0422" w:rsidRDefault="009526AD" w:rsidP="009526AD">
      <w:pPr>
        <w:pStyle w:val="BodyText"/>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Yemen is a party to several international agreements and conventions that guide its national climate change adaptation efforts. These international commitments shape the country’s legal and policy framework for addressing climate vulnerabilities.</w:t>
      </w:r>
    </w:p>
    <w:p w14:paraId="1FD15F54" w14:textId="77777777" w:rsidR="009526AD" w:rsidRPr="00AC0422" w:rsidRDefault="009526AD" w:rsidP="005D2C02">
      <w:pPr>
        <w:pStyle w:val="BodyText"/>
        <w:widowControl w:val="0"/>
        <w:numPr>
          <w:ilvl w:val="0"/>
          <w:numId w:val="24"/>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United Nations Framework Convention on Climate Change (UNFCCC). </w:t>
      </w:r>
      <w:r w:rsidRPr="00AC0422">
        <w:rPr>
          <w:rFonts w:asciiTheme="minorHAnsi" w:hAnsiTheme="minorHAnsi" w:cstheme="minorHAnsi"/>
          <w:i w:val="0"/>
          <w:iCs w:val="0"/>
          <w:szCs w:val="20"/>
          <w:lang w:val="en-GB"/>
        </w:rPr>
        <w:t xml:space="preserve">Yemen ratified the </w:t>
      </w:r>
      <w:r w:rsidRPr="00AC0422">
        <w:rPr>
          <w:rFonts w:asciiTheme="minorHAnsi" w:hAnsiTheme="minorHAnsi" w:cstheme="minorHAnsi"/>
          <w:b/>
          <w:bCs/>
          <w:i w:val="0"/>
          <w:iCs w:val="0"/>
          <w:szCs w:val="20"/>
          <w:lang w:val="en-GB"/>
        </w:rPr>
        <w:t>UNFCCC</w:t>
      </w:r>
      <w:r w:rsidRPr="00AC0422">
        <w:rPr>
          <w:rFonts w:asciiTheme="minorHAnsi" w:hAnsiTheme="minorHAnsi" w:cstheme="minorHAnsi"/>
          <w:i w:val="0"/>
          <w:iCs w:val="0"/>
          <w:szCs w:val="20"/>
          <w:lang w:val="en-GB"/>
        </w:rPr>
        <w:t xml:space="preserve"> in 1996, marking its formal engagement in global efforts to address climate change. As part of its commitments under the UNFCCC, Yemen has submitted </w:t>
      </w:r>
      <w:r w:rsidRPr="00AC0422">
        <w:rPr>
          <w:rFonts w:asciiTheme="minorHAnsi" w:hAnsiTheme="minorHAnsi" w:cstheme="minorHAnsi"/>
          <w:b/>
          <w:bCs/>
          <w:i w:val="0"/>
          <w:iCs w:val="0"/>
          <w:szCs w:val="20"/>
          <w:lang w:val="en-GB"/>
        </w:rPr>
        <w:t>National Communications</w:t>
      </w:r>
      <w:r w:rsidRPr="00AC0422">
        <w:rPr>
          <w:rFonts w:asciiTheme="minorHAnsi" w:hAnsiTheme="minorHAnsi" w:cstheme="minorHAnsi"/>
          <w:i w:val="0"/>
          <w:iCs w:val="0"/>
          <w:szCs w:val="20"/>
          <w:lang w:val="en-GB"/>
        </w:rPr>
        <w:t xml:space="preserve"> (NCs) and an </w:t>
      </w:r>
      <w:r w:rsidRPr="00AC0422">
        <w:rPr>
          <w:rFonts w:asciiTheme="minorHAnsi" w:hAnsiTheme="minorHAnsi" w:cstheme="minorHAnsi"/>
          <w:b/>
          <w:bCs/>
          <w:i w:val="0"/>
          <w:iCs w:val="0"/>
          <w:szCs w:val="20"/>
          <w:lang w:val="en-GB"/>
        </w:rPr>
        <w:t>Intended Nationally Determined Contribution (INDC)</w:t>
      </w:r>
      <w:r w:rsidRPr="00AC0422">
        <w:rPr>
          <w:rFonts w:asciiTheme="minorHAnsi" w:hAnsiTheme="minorHAnsi" w:cstheme="minorHAnsi"/>
          <w:i w:val="0"/>
          <w:iCs w:val="0"/>
          <w:szCs w:val="20"/>
          <w:lang w:val="en-GB"/>
        </w:rPr>
        <w:t>, outlining the country’s climate challenges, adaptation needs, and mitigation strategies.</w:t>
      </w:r>
    </w:p>
    <w:p w14:paraId="3E42E27F" w14:textId="77777777" w:rsidR="009526AD" w:rsidRPr="00AC0422" w:rsidRDefault="009526AD" w:rsidP="005D2C02">
      <w:pPr>
        <w:pStyle w:val="BodyText"/>
        <w:widowControl w:val="0"/>
        <w:numPr>
          <w:ilvl w:val="0"/>
          <w:numId w:val="25"/>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 xml:space="preserve">Yemen’s </w:t>
      </w:r>
      <w:r w:rsidRPr="00AC0422">
        <w:rPr>
          <w:rFonts w:asciiTheme="minorHAnsi" w:hAnsiTheme="minorHAnsi" w:cstheme="minorHAnsi"/>
          <w:b/>
          <w:bCs/>
          <w:i w:val="0"/>
          <w:iCs w:val="0"/>
          <w:szCs w:val="20"/>
          <w:lang w:val="en-GB"/>
        </w:rPr>
        <w:t>Third National Communication (TNC)</w:t>
      </w:r>
      <w:r w:rsidRPr="00AC0422">
        <w:rPr>
          <w:rFonts w:asciiTheme="minorHAnsi" w:hAnsiTheme="minorHAnsi" w:cstheme="minorHAnsi"/>
          <w:i w:val="0"/>
          <w:iCs w:val="0"/>
          <w:szCs w:val="20"/>
          <w:lang w:val="en-GB"/>
        </w:rPr>
        <w:t xml:space="preserve"> to the UNFCCC (2018) provides a comprehensive assessment of the country’s vulnerability to climate change and identifies priority sectors for adaptation. The TNC highlights agriculture, water resources, and coastal zones as key areas for adaptation action.</w:t>
      </w:r>
    </w:p>
    <w:p w14:paraId="26F7F8D5" w14:textId="77777777" w:rsidR="009526AD" w:rsidRPr="00AC0422" w:rsidRDefault="009526AD" w:rsidP="005D2C02">
      <w:pPr>
        <w:pStyle w:val="BodyText"/>
        <w:widowControl w:val="0"/>
        <w:numPr>
          <w:ilvl w:val="0"/>
          <w:numId w:val="26"/>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 xml:space="preserve">Yemen signed the </w:t>
      </w:r>
      <w:r w:rsidRPr="00AC0422">
        <w:rPr>
          <w:rFonts w:asciiTheme="minorHAnsi" w:hAnsiTheme="minorHAnsi" w:cstheme="minorHAnsi"/>
          <w:b/>
          <w:bCs/>
          <w:i w:val="0"/>
          <w:iCs w:val="0"/>
          <w:szCs w:val="20"/>
          <w:lang w:val="en-GB"/>
        </w:rPr>
        <w:t>Paris Agreement</w:t>
      </w:r>
      <w:r w:rsidRPr="00AC0422">
        <w:rPr>
          <w:rFonts w:asciiTheme="minorHAnsi" w:hAnsiTheme="minorHAnsi" w:cstheme="minorHAnsi"/>
          <w:i w:val="0"/>
          <w:iCs w:val="0"/>
          <w:szCs w:val="20"/>
          <w:lang w:val="en-GB"/>
        </w:rPr>
        <w:t xml:space="preserve"> in 2016 but has not yet ratified the Paris Agreement. Yemen’s</w:t>
      </w:r>
      <w:r w:rsidRPr="00AC0422">
        <w:rPr>
          <w:rFonts w:asciiTheme="minorHAnsi" w:hAnsiTheme="minorHAnsi" w:cstheme="minorHAnsi"/>
          <w:b/>
          <w:bCs/>
          <w:i w:val="0"/>
          <w:iCs w:val="0"/>
          <w:szCs w:val="20"/>
          <w:lang w:val="en-GB"/>
        </w:rPr>
        <w:t xml:space="preserve"> INDC</w:t>
      </w:r>
      <w:r w:rsidRPr="00AC0422">
        <w:rPr>
          <w:rFonts w:asciiTheme="minorHAnsi" w:hAnsiTheme="minorHAnsi" w:cstheme="minorHAnsi"/>
          <w:i w:val="0"/>
          <w:iCs w:val="0"/>
          <w:szCs w:val="20"/>
          <w:lang w:val="en-GB"/>
        </w:rPr>
        <w:t xml:space="preserve"> emphasizes adaptation as a national priority, given the country’s low contribution to global greenhouse gas emissions and its high vulnerability to climate impacts. The INDC highlights the need for international support, including climate finance and capacity building, to implement adaptation measures effectively.</w:t>
      </w:r>
    </w:p>
    <w:p w14:paraId="1211BCED" w14:textId="77777777" w:rsidR="009526AD" w:rsidRPr="00AC0422" w:rsidRDefault="009526AD" w:rsidP="005D2C02">
      <w:pPr>
        <w:pStyle w:val="BodyText"/>
        <w:widowControl w:val="0"/>
        <w:numPr>
          <w:ilvl w:val="0"/>
          <w:numId w:val="27"/>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 xml:space="preserve">Yemen is a signatory to the </w:t>
      </w:r>
      <w:r w:rsidRPr="00AC0422">
        <w:rPr>
          <w:rFonts w:asciiTheme="minorHAnsi" w:hAnsiTheme="minorHAnsi" w:cstheme="minorHAnsi"/>
          <w:b/>
          <w:bCs/>
          <w:i w:val="0"/>
          <w:iCs w:val="0"/>
          <w:szCs w:val="20"/>
          <w:lang w:val="en-GB"/>
        </w:rPr>
        <w:t>United Nations Convention to Combat Desertification (UNCCD)</w:t>
      </w:r>
      <w:r w:rsidRPr="00AC0422">
        <w:rPr>
          <w:rFonts w:asciiTheme="minorHAnsi" w:hAnsiTheme="minorHAnsi" w:cstheme="minorHAnsi"/>
          <w:i w:val="0"/>
          <w:iCs w:val="0"/>
          <w:szCs w:val="20"/>
          <w:lang w:val="en-GB"/>
        </w:rPr>
        <w:t>, which provides a framework for combating desertification and promoting sustainable land management. Under the UNCCD, Yemen has developed national strategies to address land degradation and enhance ecosystem resilience, which aligns with broader climate adaptation goals.</w:t>
      </w:r>
    </w:p>
    <w:p w14:paraId="4D8996C1" w14:textId="77777777" w:rsidR="009526AD" w:rsidRPr="00AC0422" w:rsidRDefault="009526AD" w:rsidP="005D2C02">
      <w:pPr>
        <w:pStyle w:val="BodyText"/>
        <w:widowControl w:val="0"/>
        <w:numPr>
          <w:ilvl w:val="0"/>
          <w:numId w:val="28"/>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 xml:space="preserve">Yemen is also a party to the </w:t>
      </w:r>
      <w:r w:rsidRPr="00AC0422">
        <w:rPr>
          <w:rFonts w:asciiTheme="minorHAnsi" w:hAnsiTheme="minorHAnsi" w:cstheme="minorHAnsi"/>
          <w:b/>
          <w:bCs/>
          <w:i w:val="0"/>
          <w:iCs w:val="0"/>
          <w:szCs w:val="20"/>
          <w:lang w:val="en-GB"/>
        </w:rPr>
        <w:t>Convention on Biological Diversity (CBD)</w:t>
      </w:r>
      <w:r w:rsidRPr="00AC0422">
        <w:rPr>
          <w:rFonts w:asciiTheme="minorHAnsi" w:hAnsiTheme="minorHAnsi" w:cstheme="minorHAnsi"/>
          <w:i w:val="0"/>
          <w:iCs w:val="0"/>
          <w:szCs w:val="20"/>
          <w:lang w:val="en-GB"/>
        </w:rPr>
        <w:t>, which emphasizes the protection of biodiversity and ecosystems, essential for building resilience to climate change. The National Biodiversity Strategy and Action Plan (NBSAP) aligns with Yemen’s climate adaptation goals by promoting ecosystem-based adaptation approaches.</w:t>
      </w:r>
    </w:p>
    <w:p w14:paraId="32694EF8" w14:textId="77777777" w:rsidR="009526AD" w:rsidRPr="00AC0422" w:rsidRDefault="009526AD" w:rsidP="009526AD">
      <w:pPr>
        <w:pStyle w:val="BodyText"/>
        <w:widowControl w:val="0"/>
        <w:autoSpaceDE w:val="0"/>
        <w:autoSpaceDN w:val="0"/>
        <w:spacing w:after="0"/>
        <w:ind w:left="720"/>
        <w:rPr>
          <w:rFonts w:asciiTheme="minorHAnsi" w:hAnsiTheme="minorHAnsi" w:cstheme="minorHAnsi"/>
          <w:i w:val="0"/>
          <w:iCs w:val="0"/>
          <w:szCs w:val="20"/>
          <w:lang w:val="en-GB"/>
        </w:rPr>
      </w:pPr>
    </w:p>
    <w:p w14:paraId="0D07464E" w14:textId="77777777" w:rsidR="009526AD" w:rsidRPr="00AC0422" w:rsidRDefault="009526AD" w:rsidP="009526AD">
      <w:pPr>
        <w:spacing w:after="120"/>
        <w:rPr>
          <w:rFonts w:asciiTheme="minorHAnsi" w:hAnsiTheme="minorHAnsi" w:cstheme="minorHAnsi"/>
          <w:b/>
          <w:bCs/>
          <w:szCs w:val="20"/>
        </w:rPr>
      </w:pPr>
      <w:bookmarkStart w:id="7" w:name="_Toc179490081"/>
      <w:r w:rsidRPr="00AC0422">
        <w:rPr>
          <w:rFonts w:asciiTheme="minorHAnsi" w:hAnsiTheme="minorHAnsi" w:cstheme="minorHAnsi"/>
          <w:b/>
          <w:bCs/>
          <w:szCs w:val="20"/>
        </w:rPr>
        <w:t>National Policies and Strategies for Climate Change Adaptation</w:t>
      </w:r>
      <w:bookmarkEnd w:id="7"/>
    </w:p>
    <w:p w14:paraId="6B20D961" w14:textId="77777777" w:rsidR="009526AD" w:rsidRPr="00AC0422" w:rsidRDefault="009526AD" w:rsidP="009526AD">
      <w:pPr>
        <w:pStyle w:val="BodyText"/>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lastRenderedPageBreak/>
        <w:t>At the national level, Yemen has developed several policies, strategies, and action plans to guide its climate change adaptation efforts. These documents provide a framework for integrating climate change adaptation into key sectors such as water, agriculture, health, and coastal management.</w:t>
      </w:r>
    </w:p>
    <w:p w14:paraId="66403D2C" w14:textId="77777777" w:rsidR="009526AD" w:rsidRPr="00AC0422" w:rsidRDefault="009526AD" w:rsidP="005D2C02">
      <w:pPr>
        <w:pStyle w:val="BodyText"/>
        <w:widowControl w:val="0"/>
        <w:numPr>
          <w:ilvl w:val="0"/>
          <w:numId w:val="27"/>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Climate Finance Country Programme (CFCP):  </w:t>
      </w:r>
      <w:r w:rsidRPr="00AC0422">
        <w:rPr>
          <w:rFonts w:asciiTheme="minorHAnsi" w:hAnsiTheme="minorHAnsi" w:cstheme="minorHAnsi"/>
          <w:i w:val="0"/>
          <w:iCs w:val="0"/>
          <w:szCs w:val="20"/>
          <w:lang w:val="en-GB"/>
        </w:rPr>
        <w:t>Yemen’s CFCP is a programme endorsed by the Government of Yemen and adopted by GCF in 2024. The programme aims to increase the climate finance mobilization to address the most urgent and crucial mitigation and adaptation priorities, enable the institutional, policy, and regulatory framework of climate change, and support the private sector engagement in the climate investment as well as GCF Direct Access (DAE) modalities. The CFCP through its eight projects focuses on four sectors:</w:t>
      </w:r>
    </w:p>
    <w:p w14:paraId="4977A038" w14:textId="77777777" w:rsidR="009526AD" w:rsidRPr="00AC0422" w:rsidRDefault="009526AD" w:rsidP="005D2C02">
      <w:pPr>
        <w:pStyle w:val="BodyText"/>
        <w:widowControl w:val="0"/>
        <w:numPr>
          <w:ilvl w:val="0"/>
          <w:numId w:val="36"/>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Water Sector: </w:t>
      </w:r>
      <w:r w:rsidRPr="00AC0422">
        <w:rPr>
          <w:rFonts w:asciiTheme="minorHAnsi" w:hAnsiTheme="minorHAnsi" w:cstheme="minorHAnsi"/>
          <w:i w:val="0"/>
          <w:iCs w:val="0"/>
          <w:szCs w:val="20"/>
          <w:lang w:val="en-GB"/>
        </w:rPr>
        <w:t>Improving water access by using alternative technologies, such as seawater desalination, water reuse, rainwater harvesting, etc.</w:t>
      </w:r>
    </w:p>
    <w:p w14:paraId="0D4A5904" w14:textId="77777777" w:rsidR="009526AD" w:rsidRPr="00AC0422" w:rsidRDefault="009526AD" w:rsidP="005D2C02">
      <w:pPr>
        <w:pStyle w:val="BodyText"/>
        <w:widowControl w:val="0"/>
        <w:numPr>
          <w:ilvl w:val="0"/>
          <w:numId w:val="36"/>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Agriculture: </w:t>
      </w:r>
      <w:r w:rsidRPr="00AC0422">
        <w:rPr>
          <w:rFonts w:asciiTheme="minorHAnsi" w:hAnsiTheme="minorHAnsi" w:cstheme="minorHAnsi"/>
          <w:i w:val="0"/>
          <w:iCs w:val="0"/>
          <w:szCs w:val="20"/>
          <w:lang w:val="en-GB"/>
        </w:rPr>
        <w:t>Supporting the agriculture-based livelihood by promoting innovative and smart agriculture approaches</w:t>
      </w:r>
    </w:p>
    <w:p w14:paraId="7845ABAB" w14:textId="77777777" w:rsidR="009526AD" w:rsidRPr="00AC0422" w:rsidRDefault="009526AD" w:rsidP="005D2C02">
      <w:pPr>
        <w:pStyle w:val="BodyText"/>
        <w:widowControl w:val="0"/>
        <w:numPr>
          <w:ilvl w:val="0"/>
          <w:numId w:val="36"/>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Coastal Zones:  </w:t>
      </w:r>
      <w:r w:rsidRPr="00AC0422">
        <w:rPr>
          <w:rFonts w:asciiTheme="minorHAnsi" w:hAnsiTheme="minorHAnsi" w:cstheme="minorHAnsi"/>
          <w:i w:val="0"/>
          <w:iCs w:val="0"/>
          <w:szCs w:val="20"/>
          <w:lang w:val="en-GB"/>
        </w:rPr>
        <w:t>Enhancing the resilient of infrastructure and livelihoods in the coastal cities</w:t>
      </w:r>
      <w:r w:rsidRPr="00AC0422">
        <w:rPr>
          <w:rFonts w:asciiTheme="minorHAnsi" w:hAnsiTheme="minorHAnsi" w:cstheme="minorHAnsi"/>
          <w:b/>
          <w:bCs/>
          <w:i w:val="0"/>
          <w:iCs w:val="0"/>
          <w:szCs w:val="20"/>
          <w:lang w:val="en-GB"/>
        </w:rPr>
        <w:t xml:space="preserve"> </w:t>
      </w:r>
    </w:p>
    <w:p w14:paraId="23D7A853" w14:textId="77777777" w:rsidR="009526AD" w:rsidRPr="00AC0422" w:rsidRDefault="009526AD" w:rsidP="005D2C02">
      <w:pPr>
        <w:pStyle w:val="BodyText"/>
        <w:widowControl w:val="0"/>
        <w:numPr>
          <w:ilvl w:val="0"/>
          <w:numId w:val="36"/>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Climate Information Services: </w:t>
      </w:r>
      <w:r w:rsidRPr="00AC0422">
        <w:rPr>
          <w:rFonts w:asciiTheme="minorHAnsi" w:hAnsiTheme="minorHAnsi" w:cstheme="minorHAnsi"/>
          <w:i w:val="0"/>
          <w:iCs w:val="0"/>
          <w:szCs w:val="20"/>
          <w:lang w:val="en-GB"/>
        </w:rPr>
        <w:t xml:space="preserve">Improving the climate information management and early warning systems </w:t>
      </w:r>
      <w:r w:rsidRPr="00AC0422">
        <w:rPr>
          <w:rFonts w:asciiTheme="minorHAnsi" w:hAnsiTheme="minorHAnsi" w:cstheme="minorHAnsi"/>
          <w:b/>
          <w:bCs/>
          <w:i w:val="0"/>
          <w:iCs w:val="0"/>
          <w:szCs w:val="20"/>
          <w:lang w:val="en-GB"/>
        </w:rPr>
        <w:t xml:space="preserve"> </w:t>
      </w:r>
    </w:p>
    <w:p w14:paraId="23612C87" w14:textId="77777777" w:rsidR="009526AD" w:rsidRPr="00AC0422" w:rsidRDefault="009526AD" w:rsidP="005D2C02">
      <w:pPr>
        <w:pStyle w:val="BodyText"/>
        <w:widowControl w:val="0"/>
        <w:numPr>
          <w:ilvl w:val="0"/>
          <w:numId w:val="36"/>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Energy:  </w:t>
      </w:r>
      <w:r w:rsidRPr="00AC0422">
        <w:rPr>
          <w:rFonts w:asciiTheme="minorHAnsi" w:hAnsiTheme="minorHAnsi" w:cstheme="minorHAnsi"/>
          <w:i w:val="0"/>
          <w:iCs w:val="0"/>
          <w:szCs w:val="20"/>
          <w:lang w:val="en-GB"/>
        </w:rPr>
        <w:t>Promoting Off-Grid Renewable Energy Systems for adaptation and mitigation purposes as well as supporting the decarbonization pathway of the industry sector</w:t>
      </w:r>
    </w:p>
    <w:p w14:paraId="61F60F9B" w14:textId="77777777" w:rsidR="009526AD" w:rsidRPr="00AC0422" w:rsidRDefault="009526AD" w:rsidP="005D2C02">
      <w:pPr>
        <w:pStyle w:val="BodyText"/>
        <w:widowControl w:val="0"/>
        <w:numPr>
          <w:ilvl w:val="0"/>
          <w:numId w:val="37"/>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Technology Needs Assessment and Action Plan (TNA &amp; TAP): </w:t>
      </w:r>
      <w:r w:rsidRPr="00AC0422">
        <w:rPr>
          <w:rFonts w:asciiTheme="minorHAnsi" w:hAnsiTheme="minorHAnsi" w:cstheme="minorHAnsi"/>
          <w:i w:val="0"/>
          <w:iCs w:val="0"/>
          <w:szCs w:val="20"/>
          <w:lang w:val="en-GB"/>
        </w:rPr>
        <w:t xml:space="preserve">Yemen TNA identified the most prioritized technologies for adaptation and mitigation in the sectors of Water, Agriculture, Energy, and Transport. TAP produced the actions needed for discussing the identified technologies into Yemen local market. </w:t>
      </w:r>
    </w:p>
    <w:p w14:paraId="37C1A1F9" w14:textId="77777777" w:rsidR="009526AD" w:rsidRPr="00AC0422" w:rsidRDefault="009526AD" w:rsidP="005D2C02">
      <w:pPr>
        <w:pStyle w:val="BodyText"/>
        <w:widowControl w:val="0"/>
        <w:numPr>
          <w:ilvl w:val="0"/>
          <w:numId w:val="27"/>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National Adaptation Programme of Action (NAPA) – 2009. </w:t>
      </w:r>
      <w:r w:rsidRPr="00AC0422">
        <w:rPr>
          <w:rFonts w:asciiTheme="minorHAnsi" w:hAnsiTheme="minorHAnsi" w:cstheme="minorHAnsi"/>
          <w:i w:val="0"/>
          <w:iCs w:val="0"/>
          <w:szCs w:val="20"/>
          <w:lang w:val="en-GB"/>
        </w:rPr>
        <w:t xml:space="preserve">Yemen’s </w:t>
      </w:r>
      <w:r w:rsidRPr="00AC0422">
        <w:rPr>
          <w:rFonts w:asciiTheme="minorHAnsi" w:hAnsiTheme="minorHAnsi" w:cstheme="minorHAnsi"/>
          <w:b/>
          <w:bCs/>
          <w:i w:val="0"/>
          <w:iCs w:val="0"/>
          <w:szCs w:val="20"/>
          <w:lang w:val="en-GB"/>
        </w:rPr>
        <w:t>National Adaptation Programme of Action (NAPA)</w:t>
      </w:r>
      <w:r w:rsidRPr="00AC0422">
        <w:rPr>
          <w:rFonts w:asciiTheme="minorHAnsi" w:hAnsiTheme="minorHAnsi" w:cstheme="minorHAnsi"/>
          <w:i w:val="0"/>
          <w:iCs w:val="0"/>
          <w:szCs w:val="20"/>
          <w:lang w:val="en-GB"/>
        </w:rPr>
        <w:t>, submitted in 2009, was one of the first comprehensive frameworks for addressing the country’s urgent and immediate adaptation needs. The NAPA identifies key vulnerabilities and prioritizes adaptation actions in areas such as:</w:t>
      </w:r>
    </w:p>
    <w:p w14:paraId="1A6FA02E" w14:textId="77777777" w:rsidR="009526AD" w:rsidRPr="00AC0422" w:rsidRDefault="009526AD" w:rsidP="005D2C02">
      <w:pPr>
        <w:pStyle w:val="BodyText"/>
        <w:widowControl w:val="0"/>
        <w:numPr>
          <w:ilvl w:val="1"/>
          <w:numId w:val="29"/>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Water resources management</w:t>
      </w:r>
      <w:r w:rsidRPr="00AC0422">
        <w:rPr>
          <w:rFonts w:asciiTheme="minorHAnsi" w:hAnsiTheme="minorHAnsi" w:cstheme="minorHAnsi"/>
          <w:i w:val="0"/>
          <w:iCs w:val="0"/>
          <w:szCs w:val="20"/>
          <w:lang w:val="en-GB"/>
        </w:rPr>
        <w:t>: Improving water storage and rainwater harvesting systems.</w:t>
      </w:r>
    </w:p>
    <w:p w14:paraId="4760CC91" w14:textId="77777777" w:rsidR="009526AD" w:rsidRPr="00AC0422" w:rsidRDefault="009526AD" w:rsidP="005D2C02">
      <w:pPr>
        <w:pStyle w:val="BodyText"/>
        <w:widowControl w:val="0"/>
        <w:numPr>
          <w:ilvl w:val="1"/>
          <w:numId w:val="29"/>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Agriculture</w:t>
      </w:r>
      <w:r w:rsidRPr="00AC0422">
        <w:rPr>
          <w:rFonts w:asciiTheme="minorHAnsi" w:hAnsiTheme="minorHAnsi" w:cstheme="minorHAnsi"/>
          <w:i w:val="0"/>
          <w:iCs w:val="0"/>
          <w:szCs w:val="20"/>
          <w:lang w:val="en-GB"/>
        </w:rPr>
        <w:t>: Introducing climate-resilient crops and improving irrigation systems.</w:t>
      </w:r>
    </w:p>
    <w:p w14:paraId="6794B7EE" w14:textId="77777777" w:rsidR="009526AD" w:rsidRPr="00AC0422" w:rsidRDefault="009526AD" w:rsidP="005D2C02">
      <w:pPr>
        <w:pStyle w:val="BodyText"/>
        <w:widowControl w:val="0"/>
        <w:numPr>
          <w:ilvl w:val="1"/>
          <w:numId w:val="29"/>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Coastal zone management</w:t>
      </w:r>
      <w:r w:rsidRPr="00AC0422">
        <w:rPr>
          <w:rFonts w:asciiTheme="minorHAnsi" w:hAnsiTheme="minorHAnsi" w:cstheme="minorHAnsi"/>
          <w:i w:val="0"/>
          <w:iCs w:val="0"/>
          <w:szCs w:val="20"/>
          <w:lang w:val="en-GB"/>
        </w:rPr>
        <w:t>: Protecting coastal infrastructure and mitigating the impacts of sea-level rise.</w:t>
      </w:r>
    </w:p>
    <w:p w14:paraId="4F611CD2" w14:textId="77777777" w:rsidR="009526AD" w:rsidRPr="00AC0422" w:rsidRDefault="009526AD" w:rsidP="005D2C02">
      <w:pPr>
        <w:pStyle w:val="BodyText"/>
        <w:widowControl w:val="0"/>
        <w:numPr>
          <w:ilvl w:val="1"/>
          <w:numId w:val="29"/>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Disaster risk management</w:t>
      </w:r>
      <w:r w:rsidRPr="00AC0422">
        <w:rPr>
          <w:rFonts w:asciiTheme="minorHAnsi" w:hAnsiTheme="minorHAnsi" w:cstheme="minorHAnsi"/>
          <w:i w:val="0"/>
          <w:iCs w:val="0"/>
          <w:szCs w:val="20"/>
          <w:lang w:val="en-GB"/>
        </w:rPr>
        <w:t>: Enhancing early warning systems and building local capacity to respond to climate-related disasters.</w:t>
      </w:r>
    </w:p>
    <w:p w14:paraId="5B9B8BB0" w14:textId="77777777" w:rsidR="009526AD" w:rsidRPr="00AC0422" w:rsidRDefault="009526AD" w:rsidP="005D2C02">
      <w:pPr>
        <w:pStyle w:val="BodyText"/>
        <w:widowControl w:val="0"/>
        <w:numPr>
          <w:ilvl w:val="0"/>
          <w:numId w:val="30"/>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Intended Nationally Determined Contribution (INDC) – 2015. </w:t>
      </w:r>
      <w:r w:rsidRPr="00AC0422">
        <w:rPr>
          <w:rFonts w:asciiTheme="minorHAnsi" w:hAnsiTheme="minorHAnsi" w:cstheme="minorHAnsi"/>
          <w:i w:val="0"/>
          <w:iCs w:val="0"/>
          <w:szCs w:val="20"/>
          <w:lang w:val="en-GB"/>
        </w:rPr>
        <w:t>Yemen’s INDC</w:t>
      </w:r>
      <w:r w:rsidRPr="00AC0422">
        <w:rPr>
          <w:rFonts w:asciiTheme="minorHAnsi" w:hAnsiTheme="minorHAnsi" w:cstheme="minorHAnsi"/>
          <w:b/>
          <w:bCs/>
          <w:i w:val="0"/>
          <w:iCs w:val="0"/>
          <w:szCs w:val="20"/>
          <w:lang w:val="en-GB"/>
        </w:rPr>
        <w:t>)</w:t>
      </w:r>
      <w:r w:rsidRPr="00AC0422">
        <w:rPr>
          <w:rFonts w:asciiTheme="minorHAnsi" w:hAnsiTheme="minorHAnsi" w:cstheme="minorHAnsi"/>
          <w:i w:val="0"/>
          <w:iCs w:val="0"/>
          <w:szCs w:val="20"/>
          <w:lang w:val="en-GB"/>
        </w:rPr>
        <w:t xml:space="preserve">, submitted in 2015 as part of its signature to the Paris Agreement, emphasizes adaptation as a top national priority. The INDC highlights several key sectors where climate adaptation is critical:  water resources, agriculture, health, and coastal protection.  </w:t>
      </w:r>
    </w:p>
    <w:p w14:paraId="794AD240" w14:textId="77777777" w:rsidR="009526AD" w:rsidRPr="00AC0422" w:rsidRDefault="009526AD" w:rsidP="005D2C02">
      <w:pPr>
        <w:pStyle w:val="BodyText"/>
        <w:widowControl w:val="0"/>
        <w:numPr>
          <w:ilvl w:val="0"/>
          <w:numId w:val="31"/>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Yemen National Environmental Action Plan (NEAP) – 2005. </w:t>
      </w:r>
      <w:r w:rsidRPr="00AC0422">
        <w:rPr>
          <w:rFonts w:asciiTheme="minorHAnsi" w:hAnsiTheme="minorHAnsi" w:cstheme="minorHAnsi"/>
          <w:i w:val="0"/>
          <w:iCs w:val="0"/>
          <w:szCs w:val="20"/>
          <w:lang w:val="en-GB"/>
        </w:rPr>
        <w:t xml:space="preserve">The </w:t>
      </w:r>
      <w:r w:rsidRPr="00AC0422">
        <w:rPr>
          <w:rFonts w:asciiTheme="minorHAnsi" w:hAnsiTheme="minorHAnsi" w:cstheme="minorHAnsi"/>
          <w:b/>
          <w:bCs/>
          <w:i w:val="0"/>
          <w:iCs w:val="0"/>
          <w:szCs w:val="20"/>
          <w:lang w:val="en-GB"/>
        </w:rPr>
        <w:t>National Environmental Action Plan (NEAP)</w:t>
      </w:r>
      <w:r w:rsidRPr="00AC0422">
        <w:rPr>
          <w:rFonts w:asciiTheme="minorHAnsi" w:hAnsiTheme="minorHAnsi" w:cstheme="minorHAnsi"/>
          <w:i w:val="0"/>
          <w:iCs w:val="0"/>
          <w:szCs w:val="20"/>
          <w:lang w:val="en-GB"/>
        </w:rPr>
        <w:t>, developed in 2005, outlines Yemen’s long-term environmental management goals, including adaptation to climate change. NEAP focuses on the sustainable use of natural resources, improving land management, protecting water resources, and reducing vulnerability to environmental disasters.</w:t>
      </w:r>
    </w:p>
    <w:p w14:paraId="4670CFFE" w14:textId="77777777" w:rsidR="009526AD" w:rsidRPr="00AC0422" w:rsidRDefault="009526AD" w:rsidP="005D2C02">
      <w:pPr>
        <w:pStyle w:val="BodyText"/>
        <w:widowControl w:val="0"/>
        <w:numPr>
          <w:ilvl w:val="0"/>
          <w:numId w:val="27"/>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 xml:space="preserve">National Water Sector Strategy and Investment Program (NWSSIP) – 2004. </w:t>
      </w:r>
      <w:r w:rsidRPr="00AC0422">
        <w:rPr>
          <w:rFonts w:asciiTheme="minorHAnsi" w:hAnsiTheme="minorHAnsi" w:cstheme="minorHAnsi"/>
          <w:i w:val="0"/>
          <w:iCs w:val="0"/>
          <w:szCs w:val="20"/>
          <w:lang w:val="en-GB"/>
        </w:rPr>
        <w:t xml:space="preserve">The </w:t>
      </w:r>
      <w:r w:rsidRPr="00AC0422">
        <w:rPr>
          <w:rFonts w:asciiTheme="minorHAnsi" w:hAnsiTheme="minorHAnsi" w:cstheme="minorHAnsi"/>
          <w:b/>
          <w:bCs/>
          <w:i w:val="0"/>
          <w:iCs w:val="0"/>
          <w:szCs w:val="20"/>
          <w:lang w:val="en-GB"/>
        </w:rPr>
        <w:t>NWSSIP</w:t>
      </w:r>
      <w:r w:rsidRPr="00AC0422">
        <w:rPr>
          <w:rFonts w:asciiTheme="minorHAnsi" w:hAnsiTheme="minorHAnsi" w:cstheme="minorHAnsi"/>
          <w:i w:val="0"/>
          <w:iCs w:val="0"/>
          <w:szCs w:val="20"/>
          <w:lang w:val="en-GB"/>
        </w:rPr>
        <w:t xml:space="preserve"> addresses the critical issue of water scarcity, which is worsened by climate change. The strategy focuses on improving water resource management, enhancing irrigation efficiency, and promoting the sustainable use of groundwater.</w:t>
      </w:r>
      <w:r w:rsidRPr="00AC0422">
        <w:rPr>
          <w:rFonts w:asciiTheme="minorHAnsi" w:hAnsiTheme="minorHAnsi" w:cstheme="minorHAnsi"/>
          <w:b/>
          <w:bCs/>
          <w:i w:val="0"/>
          <w:iCs w:val="0"/>
          <w:szCs w:val="20"/>
          <w:lang w:val="en-GB"/>
        </w:rPr>
        <w:t xml:space="preserve"> </w:t>
      </w:r>
      <w:r w:rsidRPr="00AC0422">
        <w:rPr>
          <w:rFonts w:asciiTheme="minorHAnsi" w:hAnsiTheme="minorHAnsi" w:cstheme="minorHAnsi"/>
          <w:i w:val="0"/>
          <w:iCs w:val="0"/>
          <w:szCs w:val="20"/>
          <w:lang w:val="en-GB"/>
        </w:rPr>
        <w:t>NWSSIP is essential for addressing Yemen’s water challenges in the context of increasing droughts and water stress, which are exacerbated by climate change. The strategy aligns with broader adaptation efforts aimed at ensuring water security.</w:t>
      </w:r>
    </w:p>
    <w:p w14:paraId="70E82EF1" w14:textId="77777777" w:rsidR="009526AD" w:rsidRPr="00AC0422" w:rsidRDefault="009526AD" w:rsidP="005D2C02">
      <w:pPr>
        <w:pStyle w:val="BodyText"/>
        <w:widowControl w:val="0"/>
        <w:numPr>
          <w:ilvl w:val="0"/>
          <w:numId w:val="27"/>
        </w:numPr>
        <w:pBdr>
          <w:bottom w:val="none" w:sz="0" w:space="0" w:color="auto"/>
        </w:pBdr>
        <w:autoSpaceDE w:val="0"/>
        <w:autoSpaceDN w:val="0"/>
        <w:spacing w:after="0"/>
        <w:rPr>
          <w:rFonts w:asciiTheme="minorHAnsi" w:hAnsiTheme="minorHAnsi" w:cstheme="minorHAnsi"/>
          <w:b/>
          <w:bCs/>
          <w:i w:val="0"/>
          <w:iCs w:val="0"/>
          <w:szCs w:val="20"/>
          <w:lang w:val="en-GB"/>
        </w:rPr>
      </w:pPr>
      <w:r w:rsidRPr="00AC0422">
        <w:rPr>
          <w:rFonts w:asciiTheme="minorHAnsi" w:hAnsiTheme="minorHAnsi" w:cstheme="minorHAnsi"/>
          <w:b/>
          <w:bCs/>
          <w:i w:val="0"/>
          <w:iCs w:val="0"/>
          <w:szCs w:val="20"/>
          <w:lang w:val="en-GB"/>
        </w:rPr>
        <w:t>National Water Sector Strategy and Investment Program (NWSSIP) –2008-2015</w:t>
      </w:r>
      <w:r w:rsidRPr="00AC0422">
        <w:rPr>
          <w:rFonts w:asciiTheme="minorHAnsi" w:hAnsiTheme="minorHAnsi" w:cstheme="minorHAnsi"/>
          <w:i w:val="0"/>
          <w:iCs w:val="0"/>
          <w:szCs w:val="20"/>
          <w:lang w:val="en-GB"/>
        </w:rPr>
        <w:t>: This is Yemen’s overarching water management strategy, aimed at improving water governance, ensuring sustainable water use, and addressing water scarcity through improved infrastructure and water resource management.</w:t>
      </w:r>
    </w:p>
    <w:p w14:paraId="165DD46E" w14:textId="77777777" w:rsidR="009526AD" w:rsidRPr="00AC0422" w:rsidRDefault="009526AD" w:rsidP="005D2C02">
      <w:pPr>
        <w:pStyle w:val="BodyText"/>
        <w:widowControl w:val="0"/>
        <w:numPr>
          <w:ilvl w:val="0"/>
          <w:numId w:val="32"/>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National Biodiversity Strategy and Action Plan (NBSAP) – 2015. </w:t>
      </w:r>
      <w:r w:rsidRPr="00AC0422">
        <w:rPr>
          <w:rFonts w:asciiTheme="minorHAnsi" w:hAnsiTheme="minorHAnsi" w:cstheme="minorHAnsi"/>
          <w:i w:val="0"/>
          <w:iCs w:val="0"/>
          <w:szCs w:val="20"/>
          <w:lang w:val="en-GB"/>
        </w:rPr>
        <w:t xml:space="preserve">Yemen’s </w:t>
      </w:r>
      <w:r w:rsidRPr="00AC0422">
        <w:rPr>
          <w:rFonts w:asciiTheme="minorHAnsi" w:hAnsiTheme="minorHAnsi" w:cstheme="minorHAnsi"/>
          <w:b/>
          <w:bCs/>
          <w:i w:val="0"/>
          <w:iCs w:val="0"/>
          <w:szCs w:val="20"/>
          <w:lang w:val="en-GB"/>
        </w:rPr>
        <w:t>NBSAP</w:t>
      </w:r>
      <w:r w:rsidRPr="00AC0422">
        <w:rPr>
          <w:rFonts w:asciiTheme="minorHAnsi" w:hAnsiTheme="minorHAnsi" w:cstheme="minorHAnsi"/>
          <w:i w:val="0"/>
          <w:iCs w:val="0"/>
          <w:szCs w:val="20"/>
          <w:lang w:val="en-GB"/>
        </w:rPr>
        <w:t>, developed under the Convention on Biological Diversity, promotes the conservation of biodiversity and the sustainable use of ecosystems as part of the country’s adaptation strategy. The NBSAP emphasizes ecosystem-based adaptation approaches such as protecting mangroves and coral reefs in coastal areas, restoring degraded ecosystems to enhance natural resilience to climate impacts, and promoting sustainable agricultural practices to protect biodiversity and enhance food security.</w:t>
      </w:r>
    </w:p>
    <w:p w14:paraId="28AB439F" w14:textId="77777777" w:rsidR="009526AD" w:rsidRPr="00AC0422" w:rsidRDefault="009526AD" w:rsidP="009526AD">
      <w:pPr>
        <w:pStyle w:val="BodyText"/>
        <w:rPr>
          <w:rFonts w:asciiTheme="minorHAnsi" w:hAnsiTheme="minorHAnsi" w:cstheme="minorHAnsi"/>
          <w:i w:val="0"/>
          <w:iCs w:val="0"/>
          <w:szCs w:val="20"/>
          <w:lang w:val="en-GB"/>
        </w:rPr>
      </w:pPr>
    </w:p>
    <w:p w14:paraId="4D4E056D" w14:textId="77777777" w:rsidR="009526AD" w:rsidRPr="00AC0422" w:rsidRDefault="009526AD" w:rsidP="009526AD">
      <w:pPr>
        <w:rPr>
          <w:rFonts w:asciiTheme="minorHAnsi" w:hAnsiTheme="minorHAnsi" w:cstheme="minorHAnsi"/>
          <w:b/>
          <w:bCs/>
          <w:szCs w:val="20"/>
        </w:rPr>
      </w:pPr>
      <w:bookmarkStart w:id="8" w:name="_Toc179490082"/>
      <w:r w:rsidRPr="00AC0422">
        <w:rPr>
          <w:rFonts w:asciiTheme="minorHAnsi" w:hAnsiTheme="minorHAnsi" w:cstheme="minorHAnsi"/>
          <w:b/>
          <w:bCs/>
          <w:szCs w:val="20"/>
        </w:rPr>
        <w:t>Legislative Measures for Climate Change Adaptation</w:t>
      </w:r>
      <w:bookmarkEnd w:id="8"/>
    </w:p>
    <w:p w14:paraId="4532F832" w14:textId="77777777" w:rsidR="009526AD" w:rsidRPr="00AC0422" w:rsidRDefault="009526AD" w:rsidP="009526AD">
      <w:pPr>
        <w:pStyle w:val="BodyText"/>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Yemen’s legal framework for climate adaptation is relatively underdeveloped due to the country’s political instability, ongoing conflict, and limited institutional capacity. However, several laws and decrees provide a basis for environmental protection and adaptation efforts.</w:t>
      </w:r>
    </w:p>
    <w:p w14:paraId="4F686896" w14:textId="77777777" w:rsidR="009526AD" w:rsidRPr="00AC0422" w:rsidRDefault="009526AD" w:rsidP="005D2C02">
      <w:pPr>
        <w:pStyle w:val="BodyText"/>
        <w:widowControl w:val="0"/>
        <w:numPr>
          <w:ilvl w:val="0"/>
          <w:numId w:val="33"/>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Environmental Protection Law (1995). </w:t>
      </w:r>
      <w:r w:rsidRPr="00AC0422">
        <w:rPr>
          <w:rFonts w:asciiTheme="minorHAnsi" w:hAnsiTheme="minorHAnsi" w:cstheme="minorHAnsi"/>
          <w:i w:val="0"/>
          <w:iCs w:val="0"/>
          <w:szCs w:val="20"/>
          <w:lang w:val="en-GB"/>
        </w:rPr>
        <w:t xml:space="preserve">The </w:t>
      </w:r>
      <w:r w:rsidRPr="00AC0422">
        <w:rPr>
          <w:rFonts w:asciiTheme="minorHAnsi" w:hAnsiTheme="minorHAnsi" w:cstheme="minorHAnsi"/>
          <w:b/>
          <w:bCs/>
          <w:i w:val="0"/>
          <w:iCs w:val="0"/>
          <w:szCs w:val="20"/>
          <w:lang w:val="en-GB"/>
        </w:rPr>
        <w:t>Environmental Protection Law</w:t>
      </w:r>
      <w:r w:rsidRPr="00AC0422">
        <w:rPr>
          <w:rFonts w:asciiTheme="minorHAnsi" w:hAnsiTheme="minorHAnsi" w:cstheme="minorHAnsi"/>
          <w:i w:val="0"/>
          <w:iCs w:val="0"/>
          <w:szCs w:val="20"/>
          <w:lang w:val="en-GB"/>
        </w:rPr>
        <w:t xml:space="preserve"> of 1995 is Yemen’s primary legislation for environmental management. The law provides a legal framework for the protection of natural resources, prevention of environmental degradation, and promotion of sustainable development. While the law does not specifically address climate change, it offers a foundation for implementing adaptation measures. Key provisions include:</w:t>
      </w:r>
    </w:p>
    <w:p w14:paraId="738114D6" w14:textId="77777777" w:rsidR="009526AD" w:rsidRPr="00AC0422" w:rsidRDefault="009526AD" w:rsidP="005D2C02">
      <w:pPr>
        <w:pStyle w:val="BodyText"/>
        <w:widowControl w:val="0"/>
        <w:numPr>
          <w:ilvl w:val="1"/>
          <w:numId w:val="33"/>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Regulating the use of water resources and promoting sustainable water management.</w:t>
      </w:r>
    </w:p>
    <w:p w14:paraId="3A09477C" w14:textId="77777777" w:rsidR="009526AD" w:rsidRPr="00AC0422" w:rsidRDefault="009526AD" w:rsidP="005D2C02">
      <w:pPr>
        <w:pStyle w:val="BodyText"/>
        <w:widowControl w:val="0"/>
        <w:numPr>
          <w:ilvl w:val="1"/>
          <w:numId w:val="33"/>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Encouraging reforestation and protection of forested areas to combat desertification.</w:t>
      </w:r>
    </w:p>
    <w:p w14:paraId="11082F8D" w14:textId="77777777" w:rsidR="009526AD" w:rsidRPr="00AC0422" w:rsidRDefault="009526AD" w:rsidP="005D2C02">
      <w:pPr>
        <w:pStyle w:val="BodyText"/>
        <w:widowControl w:val="0"/>
        <w:numPr>
          <w:ilvl w:val="1"/>
          <w:numId w:val="33"/>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Establishing environmental impact assessment (EIA) procedures for development projects.</w:t>
      </w:r>
    </w:p>
    <w:p w14:paraId="0214DCFD" w14:textId="77777777" w:rsidR="009526AD" w:rsidRPr="00AC0422" w:rsidRDefault="009526AD" w:rsidP="005D2C02">
      <w:pPr>
        <w:pStyle w:val="BodyText"/>
        <w:widowControl w:val="0"/>
        <w:numPr>
          <w:ilvl w:val="0"/>
          <w:numId w:val="34"/>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Water Law (2002). </w:t>
      </w:r>
      <w:r w:rsidRPr="00AC0422">
        <w:rPr>
          <w:rFonts w:asciiTheme="minorHAnsi" w:hAnsiTheme="minorHAnsi" w:cstheme="minorHAnsi"/>
          <w:i w:val="0"/>
          <w:iCs w:val="0"/>
          <w:szCs w:val="20"/>
          <w:lang w:val="en-GB"/>
        </w:rPr>
        <w:t xml:space="preserve">The </w:t>
      </w:r>
      <w:r w:rsidRPr="00AC0422">
        <w:rPr>
          <w:rFonts w:asciiTheme="minorHAnsi" w:hAnsiTheme="minorHAnsi" w:cstheme="minorHAnsi"/>
          <w:b/>
          <w:bCs/>
          <w:i w:val="0"/>
          <w:iCs w:val="0"/>
          <w:szCs w:val="20"/>
          <w:lang w:val="en-GB"/>
        </w:rPr>
        <w:t>Water Law</w:t>
      </w:r>
      <w:r w:rsidRPr="00AC0422">
        <w:rPr>
          <w:rFonts w:asciiTheme="minorHAnsi" w:hAnsiTheme="minorHAnsi" w:cstheme="minorHAnsi"/>
          <w:i w:val="0"/>
          <w:iCs w:val="0"/>
          <w:szCs w:val="20"/>
          <w:lang w:val="en-GB"/>
        </w:rPr>
        <w:t xml:space="preserve"> of 2002 establishes a legal framework for the management and regulation of water resources in Yemen. The law is crucial for addressing water scarcity, a key climate adaptation issue in Yemen. Provisions of the Water Law include:</w:t>
      </w:r>
    </w:p>
    <w:p w14:paraId="756E8231" w14:textId="77777777" w:rsidR="009526AD" w:rsidRPr="00AC0422" w:rsidRDefault="009526AD" w:rsidP="005D2C02">
      <w:pPr>
        <w:pStyle w:val="BodyText"/>
        <w:widowControl w:val="0"/>
        <w:numPr>
          <w:ilvl w:val="1"/>
          <w:numId w:val="34"/>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Regulating the use of groundwater to prevent over-extraction.</w:t>
      </w:r>
    </w:p>
    <w:p w14:paraId="2B85790E" w14:textId="77777777" w:rsidR="009526AD" w:rsidRPr="00AC0422" w:rsidRDefault="009526AD" w:rsidP="005D2C02">
      <w:pPr>
        <w:pStyle w:val="BodyText"/>
        <w:widowControl w:val="0"/>
        <w:numPr>
          <w:ilvl w:val="1"/>
          <w:numId w:val="34"/>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Promoting water conservation measures in agriculture, industry, and domestic use.</w:t>
      </w:r>
    </w:p>
    <w:p w14:paraId="3A81E408" w14:textId="77777777" w:rsidR="009526AD" w:rsidRPr="00AC0422" w:rsidRDefault="009526AD" w:rsidP="005D2C02">
      <w:pPr>
        <w:pStyle w:val="BodyText"/>
        <w:widowControl w:val="0"/>
        <w:numPr>
          <w:ilvl w:val="1"/>
          <w:numId w:val="34"/>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Encouraging the development of alternative water sources, such as desalination and rainwater harvesting.</w:t>
      </w:r>
    </w:p>
    <w:p w14:paraId="2415C77F" w14:textId="77777777" w:rsidR="009526AD" w:rsidRPr="00AC0422" w:rsidRDefault="009526AD" w:rsidP="005D2C02">
      <w:pPr>
        <w:pStyle w:val="BodyText"/>
        <w:widowControl w:val="0"/>
        <w:numPr>
          <w:ilvl w:val="0"/>
          <w:numId w:val="35"/>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b/>
          <w:bCs/>
          <w:i w:val="0"/>
          <w:iCs w:val="0"/>
          <w:szCs w:val="20"/>
          <w:lang w:val="en-GB"/>
        </w:rPr>
        <w:t xml:space="preserve">National Disaster Management Law (2012). </w:t>
      </w:r>
      <w:r w:rsidRPr="00AC0422">
        <w:rPr>
          <w:rFonts w:asciiTheme="minorHAnsi" w:hAnsiTheme="minorHAnsi" w:cstheme="minorHAnsi"/>
          <w:i w:val="0"/>
          <w:iCs w:val="0"/>
          <w:szCs w:val="20"/>
          <w:lang w:val="en-GB"/>
        </w:rPr>
        <w:t xml:space="preserve">The </w:t>
      </w:r>
      <w:r w:rsidRPr="00AC0422">
        <w:rPr>
          <w:rFonts w:asciiTheme="minorHAnsi" w:hAnsiTheme="minorHAnsi" w:cstheme="minorHAnsi"/>
          <w:b/>
          <w:bCs/>
          <w:i w:val="0"/>
          <w:iCs w:val="0"/>
          <w:szCs w:val="20"/>
          <w:lang w:val="en-GB"/>
        </w:rPr>
        <w:t>National Disaster Management Law</w:t>
      </w:r>
      <w:r w:rsidRPr="00AC0422">
        <w:rPr>
          <w:rFonts w:asciiTheme="minorHAnsi" w:hAnsiTheme="minorHAnsi" w:cstheme="minorHAnsi"/>
          <w:i w:val="0"/>
          <w:iCs w:val="0"/>
          <w:szCs w:val="20"/>
          <w:lang w:val="en-GB"/>
        </w:rPr>
        <w:t xml:space="preserve"> provides a legal basis for disaster risk management in Yemen. The law emphasizes the importance of preparedness, response, and recovery in the face of natural disasters, including those exacerbated by climate change. Key provisions of the law include:</w:t>
      </w:r>
    </w:p>
    <w:p w14:paraId="72931CA3" w14:textId="77777777" w:rsidR="009526AD" w:rsidRPr="00AC0422" w:rsidRDefault="009526AD" w:rsidP="005D2C02">
      <w:pPr>
        <w:pStyle w:val="BodyText"/>
        <w:widowControl w:val="0"/>
        <w:numPr>
          <w:ilvl w:val="1"/>
          <w:numId w:val="35"/>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Establishing a national disaster management authority responsible for coordinating disaster risk reduction (DRR) efforts.</w:t>
      </w:r>
    </w:p>
    <w:p w14:paraId="10BEA0B0" w14:textId="77777777" w:rsidR="009526AD" w:rsidRPr="00AC0422" w:rsidRDefault="009526AD" w:rsidP="005D2C02">
      <w:pPr>
        <w:pStyle w:val="BodyText"/>
        <w:widowControl w:val="0"/>
        <w:numPr>
          <w:ilvl w:val="1"/>
          <w:numId w:val="35"/>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Developing early warning systems for floods, droughts, and other climate-induced disasters.</w:t>
      </w:r>
    </w:p>
    <w:p w14:paraId="7C2742FF" w14:textId="77777777" w:rsidR="009526AD" w:rsidRPr="00AC0422" w:rsidRDefault="009526AD" w:rsidP="005D2C02">
      <w:pPr>
        <w:pStyle w:val="BodyText"/>
        <w:widowControl w:val="0"/>
        <w:numPr>
          <w:ilvl w:val="1"/>
          <w:numId w:val="35"/>
        </w:numPr>
        <w:pBdr>
          <w:bottom w:val="none" w:sz="0" w:space="0" w:color="auto"/>
        </w:pBdr>
        <w:autoSpaceDE w:val="0"/>
        <w:autoSpaceDN w:val="0"/>
        <w:spacing w:after="0"/>
        <w:rPr>
          <w:rFonts w:asciiTheme="minorHAnsi" w:hAnsiTheme="minorHAnsi" w:cstheme="minorHAnsi"/>
          <w:i w:val="0"/>
          <w:iCs w:val="0"/>
          <w:szCs w:val="20"/>
          <w:lang w:val="en-GB"/>
        </w:rPr>
      </w:pPr>
      <w:r w:rsidRPr="00AC0422">
        <w:rPr>
          <w:rFonts w:asciiTheme="minorHAnsi" w:hAnsiTheme="minorHAnsi" w:cstheme="minorHAnsi"/>
          <w:i w:val="0"/>
          <w:iCs w:val="0"/>
          <w:szCs w:val="20"/>
          <w:lang w:val="en-GB"/>
        </w:rPr>
        <w:t>Promoting local-level disaster preparedness and resilience-building initiatives.</w:t>
      </w:r>
    </w:p>
    <w:p w14:paraId="09422049" w14:textId="77777777" w:rsidR="009526AD" w:rsidRPr="00AC0422" w:rsidRDefault="009526AD" w:rsidP="009526AD">
      <w:pPr>
        <w:pStyle w:val="BodyText"/>
        <w:rPr>
          <w:rFonts w:asciiTheme="minorHAnsi" w:hAnsiTheme="minorHAnsi" w:cstheme="minorHAnsi"/>
          <w:i w:val="0"/>
          <w:iCs w:val="0"/>
          <w:szCs w:val="20"/>
          <w:lang w:val="en-GB"/>
        </w:rPr>
      </w:pPr>
    </w:p>
    <w:p w14:paraId="48DD365C" w14:textId="77777777" w:rsidR="009526AD" w:rsidRPr="00AC0422" w:rsidRDefault="009526AD" w:rsidP="009526AD">
      <w:pPr>
        <w:rPr>
          <w:rFonts w:asciiTheme="minorHAnsi" w:hAnsiTheme="minorHAnsi" w:cstheme="minorHAnsi"/>
          <w:b/>
          <w:bCs/>
          <w:szCs w:val="20"/>
        </w:rPr>
      </w:pPr>
      <w:bookmarkStart w:id="9" w:name="_Toc179490083"/>
      <w:r w:rsidRPr="00AC0422">
        <w:rPr>
          <w:rFonts w:asciiTheme="minorHAnsi" w:hAnsiTheme="minorHAnsi" w:cstheme="minorHAnsi"/>
          <w:b/>
          <w:bCs/>
          <w:szCs w:val="20"/>
        </w:rPr>
        <w:t>Sectoral Policy and Strategy</w:t>
      </w:r>
      <w:bookmarkEnd w:id="9"/>
      <w:r w:rsidRPr="00AC0422">
        <w:rPr>
          <w:rFonts w:asciiTheme="minorHAnsi" w:hAnsiTheme="minorHAnsi" w:cstheme="minorHAnsi"/>
          <w:b/>
          <w:bCs/>
          <w:szCs w:val="20"/>
        </w:rPr>
        <w:t xml:space="preserve"> Gap Analysis and alignment with NAP project</w:t>
      </w:r>
    </w:p>
    <w:p w14:paraId="697B36D8" w14:textId="5517509E" w:rsidR="009526AD" w:rsidRPr="00AC0422" w:rsidRDefault="009526AD" w:rsidP="009526AD">
      <w:pPr>
        <w:rPr>
          <w:rFonts w:asciiTheme="minorHAnsi" w:hAnsiTheme="minorHAnsi" w:cstheme="minorHAnsi"/>
          <w:szCs w:val="20"/>
          <w:lang w:val="en-GB"/>
        </w:rPr>
        <w:sectPr w:rsidR="009526AD" w:rsidRPr="00AC0422" w:rsidSect="009526AD">
          <w:headerReference w:type="default" r:id="rId30"/>
          <w:pgSz w:w="11907" w:h="16840" w:code="9"/>
          <w:pgMar w:top="1440" w:right="1440" w:bottom="1440" w:left="1440" w:header="720" w:footer="720" w:gutter="0"/>
          <w:cols w:space="720"/>
          <w:docGrid w:linePitch="360"/>
        </w:sectPr>
      </w:pPr>
      <w:bookmarkStart w:id="10" w:name="_Toc179490084"/>
      <w:r w:rsidRPr="00AC0422">
        <w:rPr>
          <w:rFonts w:asciiTheme="minorHAnsi" w:hAnsiTheme="minorHAnsi" w:cstheme="minorHAnsi"/>
          <w:szCs w:val="20"/>
        </w:rPr>
        <w:t xml:space="preserve">An analysis of </w:t>
      </w:r>
      <w:bookmarkEnd w:id="10"/>
      <w:r w:rsidRPr="00AC0422">
        <w:rPr>
          <w:rFonts w:asciiTheme="minorHAnsi" w:hAnsiTheme="minorHAnsi" w:cstheme="minorHAnsi"/>
          <w:szCs w:val="20"/>
          <w:lang w:val="en-GB"/>
        </w:rPr>
        <w:t>the key sectoral policies and strategies for water, agriculture, health, and coastal zones is summarised in Table 1.  It includes a summary of each policy/strategy, identified CCA gaps, and existing alignment with NAP.  It also includes the complementarities and enhancements that the NAP will provide.</w:t>
      </w:r>
    </w:p>
    <w:p w14:paraId="00A5B9F6" w14:textId="77777777" w:rsidR="009E1AAB" w:rsidRPr="00AC0422" w:rsidRDefault="009E1AAB" w:rsidP="009E1AAB">
      <w:pPr>
        <w:keepNext/>
        <w:spacing w:after="200"/>
        <w:jc w:val="left"/>
        <w:rPr>
          <w:rFonts w:asciiTheme="minorHAnsi" w:eastAsia="Arial" w:hAnsiTheme="minorHAnsi" w:cstheme="minorHAnsi"/>
          <w:i/>
          <w:iCs/>
          <w:color w:val="373545"/>
          <w:szCs w:val="20"/>
        </w:rPr>
      </w:pPr>
      <w:r w:rsidRPr="00AC0422">
        <w:rPr>
          <w:rFonts w:asciiTheme="minorHAnsi" w:eastAsia="Arial" w:hAnsiTheme="minorHAnsi" w:cstheme="minorHAnsi"/>
          <w:i/>
          <w:iCs/>
          <w:color w:val="373545"/>
          <w:szCs w:val="20"/>
        </w:rPr>
        <w:lastRenderedPageBreak/>
        <w:t xml:space="preserve">Table </w:t>
      </w:r>
      <w:r w:rsidRPr="00AC0422">
        <w:rPr>
          <w:rFonts w:asciiTheme="minorHAnsi" w:eastAsia="Arial" w:hAnsiTheme="minorHAnsi" w:cstheme="minorHAnsi"/>
          <w:i/>
          <w:iCs/>
          <w:color w:val="373545"/>
          <w:szCs w:val="20"/>
        </w:rPr>
        <w:fldChar w:fldCharType="begin"/>
      </w:r>
      <w:r w:rsidRPr="00AC0422">
        <w:rPr>
          <w:rFonts w:asciiTheme="minorHAnsi" w:eastAsia="Arial" w:hAnsiTheme="minorHAnsi" w:cstheme="minorHAnsi"/>
          <w:i/>
          <w:iCs/>
          <w:color w:val="373545"/>
          <w:szCs w:val="20"/>
        </w:rPr>
        <w:instrText>SEQ Table \* ARABIC</w:instrText>
      </w:r>
      <w:r w:rsidRPr="00AC0422">
        <w:rPr>
          <w:rFonts w:asciiTheme="minorHAnsi" w:eastAsia="Arial" w:hAnsiTheme="minorHAnsi" w:cstheme="minorHAnsi"/>
          <w:i/>
          <w:iCs/>
          <w:color w:val="373545"/>
          <w:szCs w:val="20"/>
        </w:rPr>
        <w:fldChar w:fldCharType="separate"/>
      </w:r>
      <w:r w:rsidRPr="00AC0422">
        <w:rPr>
          <w:rFonts w:asciiTheme="minorHAnsi" w:eastAsia="Arial" w:hAnsiTheme="minorHAnsi" w:cstheme="minorHAnsi"/>
          <w:i/>
          <w:iCs/>
          <w:noProof/>
          <w:color w:val="373545"/>
          <w:szCs w:val="20"/>
        </w:rPr>
        <w:t>1</w:t>
      </w:r>
      <w:r w:rsidRPr="00AC0422">
        <w:rPr>
          <w:rFonts w:asciiTheme="minorHAnsi" w:eastAsia="Arial" w:hAnsiTheme="minorHAnsi" w:cstheme="minorHAnsi"/>
          <w:i/>
          <w:iCs/>
          <w:color w:val="373545"/>
          <w:szCs w:val="20"/>
        </w:rPr>
        <w:fldChar w:fldCharType="end"/>
      </w:r>
      <w:r w:rsidRPr="00AC0422">
        <w:rPr>
          <w:rFonts w:asciiTheme="minorHAnsi" w:eastAsia="Arial" w:hAnsiTheme="minorHAnsi" w:cstheme="minorHAnsi"/>
          <w:i/>
          <w:iCs/>
          <w:color w:val="373545"/>
          <w:szCs w:val="20"/>
        </w:rPr>
        <w:t>: Sectoral Policies/Strategies, summary, alignment with NAP and proposed CC mainstreaming</w:t>
      </w:r>
    </w:p>
    <w:p w14:paraId="7C9B330D" w14:textId="77777777" w:rsidR="00D04A5D" w:rsidRPr="00AC0422" w:rsidRDefault="00D04A5D">
      <w:pPr>
        <w:spacing w:after="0"/>
        <w:jc w:val="left"/>
        <w:rPr>
          <w:rFonts w:asciiTheme="minorHAnsi" w:hAnsiTheme="minorHAnsi" w:cstheme="minorHAnsi"/>
          <w:szCs w:val="20"/>
          <w:lang w:val="en-GB"/>
        </w:rPr>
      </w:pPr>
    </w:p>
    <w:tbl>
      <w:tblPr>
        <w:tblStyle w:val="Gitternetztabelle4Akzent11"/>
        <w:tblW w:w="13044" w:type="dxa"/>
        <w:tblInd w:w="197" w:type="dxa"/>
        <w:tblLayout w:type="fixed"/>
        <w:tblLook w:val="04A0" w:firstRow="1" w:lastRow="0" w:firstColumn="1" w:lastColumn="0" w:noHBand="0" w:noVBand="1"/>
      </w:tblPr>
      <w:tblGrid>
        <w:gridCol w:w="1747"/>
        <w:gridCol w:w="5661"/>
        <w:gridCol w:w="5636"/>
      </w:tblGrid>
      <w:tr w:rsidR="0055662A" w:rsidRPr="00AC0422" w14:paraId="763BC32D" w14:textId="77777777" w:rsidTr="009E1AAB">
        <w:trPr>
          <w:cnfStyle w:val="100000000000" w:firstRow="1" w:lastRow="0" w:firstColumn="0" w:lastColumn="0" w:oddVBand="0" w:evenVBand="0" w:oddHBand="0" w:evenHBand="0" w:firstRowFirstColumn="0" w:firstRowLastColumn="0" w:lastRowFirstColumn="0" w:lastRowLastColumn="0"/>
          <w:trHeight w:val="226"/>
          <w:tblHeader/>
        </w:trPr>
        <w:tc>
          <w:tcPr>
            <w:cnfStyle w:val="001000000000" w:firstRow="0" w:lastRow="0" w:firstColumn="1" w:lastColumn="0" w:oddVBand="0" w:evenVBand="0" w:oddHBand="0" w:evenHBand="0" w:firstRowFirstColumn="0" w:firstRowLastColumn="0" w:lastRowFirstColumn="0" w:lastRowLastColumn="0"/>
            <w:tcW w:w="1747" w:type="dxa"/>
            <w:vAlign w:val="center"/>
          </w:tcPr>
          <w:p w14:paraId="31DF2F57" w14:textId="77777777" w:rsidR="0055662A" w:rsidRPr="00AC0422" w:rsidRDefault="0055662A" w:rsidP="00391BF1">
            <w:pPr>
              <w:ind w:right="-29"/>
              <w:rPr>
                <w:rFonts w:eastAsia="Batang" w:cstheme="minorHAnsi"/>
                <w:sz w:val="18"/>
                <w:szCs w:val="18"/>
              </w:rPr>
            </w:pPr>
            <w:r w:rsidRPr="00AC0422">
              <w:rPr>
                <w:rFonts w:eastAsia="Batang" w:cstheme="minorHAnsi"/>
                <w:sz w:val="18"/>
                <w:szCs w:val="18"/>
              </w:rPr>
              <w:t>Policy/strategy</w:t>
            </w:r>
          </w:p>
        </w:tc>
        <w:tc>
          <w:tcPr>
            <w:tcW w:w="5661" w:type="dxa"/>
            <w:vAlign w:val="center"/>
          </w:tcPr>
          <w:p w14:paraId="5A27F744" w14:textId="77777777" w:rsidR="0055662A" w:rsidRPr="00AC0422" w:rsidRDefault="0055662A" w:rsidP="00391BF1">
            <w:pPr>
              <w:ind w:right="-29"/>
              <w:cnfStyle w:val="100000000000" w:firstRow="1"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Policy summary</w:t>
            </w:r>
          </w:p>
        </w:tc>
        <w:tc>
          <w:tcPr>
            <w:tcW w:w="5636" w:type="dxa"/>
            <w:vAlign w:val="center"/>
          </w:tcPr>
          <w:p w14:paraId="4A45E3AA" w14:textId="77777777" w:rsidR="0055662A" w:rsidRPr="00AC0422" w:rsidRDefault="0055662A" w:rsidP="00391BF1">
            <w:pPr>
              <w:ind w:right="-29"/>
              <w:cnfStyle w:val="100000000000" w:firstRow="1"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 xml:space="preserve">Alignment of NAP </w:t>
            </w:r>
          </w:p>
        </w:tc>
      </w:tr>
      <w:tr w:rsidR="0055662A" w:rsidRPr="00AC0422" w14:paraId="3EB5BFE2" w14:textId="77777777" w:rsidTr="009E1AAB">
        <w:trPr>
          <w:cnfStyle w:val="000000100000" w:firstRow="0" w:lastRow="0" w:firstColumn="0" w:lastColumn="0" w:oddVBand="0" w:evenVBand="0" w:oddHBand="1" w:evenHBand="0" w:firstRowFirstColumn="0" w:firstRowLastColumn="0" w:lastRowFirstColumn="0" w:lastRowLastColumn="0"/>
          <w:trHeight w:val="7832"/>
        </w:trPr>
        <w:tc>
          <w:tcPr>
            <w:cnfStyle w:val="001000000000" w:firstRow="0" w:lastRow="0" w:firstColumn="1" w:lastColumn="0" w:oddVBand="0" w:evenVBand="0" w:oddHBand="0" w:evenHBand="0" w:firstRowFirstColumn="0" w:firstRowLastColumn="0" w:lastRowFirstColumn="0" w:lastRowLastColumn="0"/>
            <w:tcW w:w="1747" w:type="dxa"/>
          </w:tcPr>
          <w:p w14:paraId="6DBB8E0E" w14:textId="77777777" w:rsidR="0055662A" w:rsidRPr="00AC0422" w:rsidRDefault="0055662A" w:rsidP="00391BF1">
            <w:pPr>
              <w:spacing w:after="120"/>
              <w:ind w:right="-29"/>
              <w:rPr>
                <w:rFonts w:eastAsia="Batang" w:cstheme="minorHAnsi"/>
                <w:sz w:val="18"/>
                <w:szCs w:val="18"/>
                <w:highlight w:val="yellow"/>
              </w:rPr>
            </w:pPr>
            <w:r w:rsidRPr="00AC0422">
              <w:rPr>
                <w:rFonts w:cstheme="minorHAnsi"/>
                <w:sz w:val="18"/>
                <w:szCs w:val="18"/>
                <w:lang w:val="en-GB"/>
              </w:rPr>
              <w:t>National Water Sector Strategy and Investment Program (NWSSIP) – 2004, Updated 2008-2015:</w:t>
            </w:r>
          </w:p>
        </w:tc>
        <w:tc>
          <w:tcPr>
            <w:tcW w:w="5661" w:type="dxa"/>
          </w:tcPr>
          <w:p w14:paraId="4F45A0E7"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This is Yemen’s overarching water management strategy, aimed at improving water governance, ensuring sustainable water use, and addressing water scarcity through improved infrastructure and water resource management.  It provides a framework for sustainable water resource management, investment prioritization, and institutional reforms. The program emphasizes decentralization, stakeholder participation, and integrated water resource management (IWRM).  Its key objectives are:</w:t>
            </w:r>
          </w:p>
          <w:p w14:paraId="3D3A9476"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p>
          <w:p w14:paraId="0B5E44D8"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Develop mechanisms for the equitable distribution of water </w:t>
            </w:r>
            <w:proofErr w:type="gramStart"/>
            <w:r w:rsidRPr="00AC0422">
              <w:rPr>
                <w:rFonts w:cstheme="minorHAnsi"/>
                <w:sz w:val="18"/>
                <w:szCs w:val="18"/>
                <w:lang w:val="en-GB"/>
              </w:rPr>
              <w:t>resources;</w:t>
            </w:r>
            <w:proofErr w:type="gramEnd"/>
            <w:r w:rsidRPr="00AC0422">
              <w:rPr>
                <w:rFonts w:cstheme="minorHAnsi"/>
                <w:sz w:val="18"/>
                <w:szCs w:val="18"/>
                <w:lang w:val="en-GB"/>
              </w:rPr>
              <w:t xml:space="preserve"> </w:t>
            </w:r>
          </w:p>
          <w:p w14:paraId="3A83BB01"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Prevent over-extraction and ensure groundwater </w:t>
            </w:r>
            <w:proofErr w:type="gramStart"/>
            <w:r w:rsidRPr="00AC0422">
              <w:rPr>
                <w:rFonts w:cstheme="minorHAnsi"/>
                <w:sz w:val="18"/>
                <w:szCs w:val="18"/>
                <w:lang w:val="en-GB"/>
              </w:rPr>
              <w:t>conservation;</w:t>
            </w:r>
            <w:proofErr w:type="gramEnd"/>
            <w:r w:rsidRPr="00AC0422">
              <w:rPr>
                <w:rFonts w:cstheme="minorHAnsi"/>
                <w:sz w:val="18"/>
                <w:szCs w:val="18"/>
                <w:lang w:val="en-GB"/>
              </w:rPr>
              <w:t xml:space="preserve"> </w:t>
            </w:r>
          </w:p>
          <w:p w14:paraId="6AA9F977"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Strengthen water governance by enhancing the role of regional and local water management agencies; </w:t>
            </w:r>
          </w:p>
          <w:p w14:paraId="15D43DD9"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Mobilize resources for infrastructure development, such as water supply systems, irrigation modernization, and wastewater treatment; </w:t>
            </w:r>
          </w:p>
          <w:p w14:paraId="0A556BBA"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Promote cross-sectoral collaboration among agriculture, urban development, and environmental sectors to address competing water demands; </w:t>
            </w:r>
          </w:p>
          <w:p w14:paraId="0A127366"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Enhance access to safe drinking water and sanitation services, particularly in rural and underserved areas.</w:t>
            </w:r>
          </w:p>
          <w:p w14:paraId="00E1C5B5"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p>
          <w:p w14:paraId="706A6653"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b/>
                <w:bCs/>
                <w:sz w:val="18"/>
                <w:szCs w:val="18"/>
                <w:lang w:val="en-GB"/>
              </w:rPr>
              <w:t>CCA Gaps</w:t>
            </w:r>
            <w:r w:rsidRPr="00AC0422">
              <w:rPr>
                <w:rFonts w:cstheme="minorHAnsi"/>
                <w:sz w:val="18"/>
                <w:szCs w:val="18"/>
                <w:lang w:val="en-GB"/>
              </w:rPr>
              <w:t xml:space="preserve">: </w:t>
            </w:r>
          </w:p>
          <w:p w14:paraId="3CE4797C"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No systematic identification of climate change impacts on water resources or adaptation measures; </w:t>
            </w:r>
          </w:p>
          <w:p w14:paraId="24156EAD"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Lacks specific climate adaptation measures, such as infrastructure resilience to extreme weather events; </w:t>
            </w:r>
          </w:p>
          <w:p w14:paraId="6543BA83"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No integration of climate scenarios in cross-sectoral planning (e.g., agricultural adaptation to changing rainfall patterns); </w:t>
            </w:r>
          </w:p>
          <w:p w14:paraId="7257215B"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Limited emphasis on climate-related data collection, such as precipitation patterns and evapotranspiration rates; </w:t>
            </w:r>
          </w:p>
          <w:p w14:paraId="13A7A43C"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Does not include climate change capacity building for water management professionals or local communities; </w:t>
            </w:r>
          </w:p>
          <w:p w14:paraId="21545529"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t xml:space="preserve">No explicit inclusion of climate change adaptation in water governance policies or basin-level planning; </w:t>
            </w:r>
          </w:p>
          <w:p w14:paraId="3B53C4AF" w14:textId="77777777" w:rsidR="0055662A" w:rsidRPr="00AC0422" w:rsidRDefault="0055662A" w:rsidP="00391BF1">
            <w:pPr>
              <w:ind w:right="-29"/>
              <w:cnfStyle w:val="000000100000" w:firstRow="0" w:lastRow="0" w:firstColumn="0" w:lastColumn="0" w:oddVBand="0" w:evenVBand="0" w:oddHBand="1" w:evenHBand="0" w:firstRowFirstColumn="0" w:firstRowLastColumn="0" w:lastRowFirstColumn="0" w:lastRowLastColumn="0"/>
              <w:rPr>
                <w:rFonts w:cstheme="minorHAnsi"/>
                <w:sz w:val="18"/>
                <w:szCs w:val="18"/>
                <w:lang w:val="en-GB"/>
              </w:rPr>
            </w:pPr>
            <w:r w:rsidRPr="00AC0422">
              <w:rPr>
                <w:rFonts w:cstheme="minorHAnsi"/>
                <w:sz w:val="18"/>
                <w:szCs w:val="18"/>
                <w:lang w:val="en-GB"/>
              </w:rPr>
              <w:lastRenderedPageBreak/>
              <w:t>Does not prioritize investments in climate-resilient water infrastructure (e.g., flood defences or drought-resistant technologies).</w:t>
            </w:r>
          </w:p>
        </w:tc>
        <w:tc>
          <w:tcPr>
            <w:tcW w:w="5636" w:type="dxa"/>
          </w:tcPr>
          <w:p w14:paraId="17AD4FA8"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b/>
                <w:bCs/>
                <w:sz w:val="18"/>
                <w:szCs w:val="18"/>
                <w:lang w:val="en-GB"/>
              </w:rPr>
            </w:pPr>
            <w:r w:rsidRPr="00AC0422">
              <w:rPr>
                <w:rFonts w:eastAsia="Batang" w:cstheme="minorHAnsi"/>
                <w:b/>
                <w:bCs/>
                <w:sz w:val="18"/>
                <w:szCs w:val="18"/>
                <w:lang w:val="en-GB"/>
              </w:rPr>
              <w:lastRenderedPageBreak/>
              <w:t>Alignment with NAP</w:t>
            </w:r>
          </w:p>
          <w:p w14:paraId="6ED5B0F4"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lang w:val="en-GB"/>
              </w:rPr>
            </w:pPr>
            <w:r w:rsidRPr="00AC0422">
              <w:rPr>
                <w:rFonts w:eastAsia="Batang" w:cstheme="minorHAnsi"/>
                <w:sz w:val="18"/>
                <w:szCs w:val="18"/>
                <w:lang w:val="en-GB"/>
              </w:rPr>
              <w:t>NWSSIP emphasizes the importance of IWRM for sustainable water use. The NAP process can build on existing basin committees and WUAs to identify and integrate climate adaptation measures. NWSSIP’s focus on decentralization aligns with the NAP project’s goal of engaging local stakeholders in adaptation planning. The NWSSIP's recognition of interlinkages between water and agriculture provides a basis for the NAP’s broader integration across priority sectors. The NWSSIP prioritizes improving water access in rural areas, which aligns with the NAP project’s emphasis on supporting vulnerable populations.</w:t>
            </w:r>
          </w:p>
          <w:p w14:paraId="16F26114"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lang w:val="en-GB"/>
              </w:rPr>
            </w:pPr>
            <w:r w:rsidRPr="00AC0422">
              <w:rPr>
                <w:rFonts w:eastAsia="Batang" w:cstheme="minorHAnsi"/>
                <w:sz w:val="18"/>
                <w:szCs w:val="18"/>
                <w:lang w:val="en-GB"/>
              </w:rPr>
              <w:t xml:space="preserve">To further align with NAP the </w:t>
            </w:r>
            <w:r w:rsidRPr="00AC0422">
              <w:rPr>
                <w:rFonts w:eastAsia="Batang" w:cstheme="minorHAnsi"/>
                <w:b/>
                <w:bCs/>
                <w:sz w:val="18"/>
                <w:szCs w:val="18"/>
                <w:lang w:val="en-GB"/>
              </w:rPr>
              <w:t>NWSSIP II</w:t>
            </w:r>
            <w:r w:rsidRPr="00AC0422">
              <w:rPr>
                <w:rFonts w:eastAsia="Batang" w:cstheme="minorHAnsi"/>
                <w:sz w:val="18"/>
                <w:szCs w:val="18"/>
                <w:lang w:val="en-GB"/>
              </w:rPr>
              <w:t xml:space="preserve"> can be enhanced by: </w:t>
            </w:r>
          </w:p>
          <w:p w14:paraId="6B82E70C"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lang w:val="en-GB"/>
              </w:rPr>
            </w:pPr>
            <w:proofErr w:type="spellStart"/>
            <w:r w:rsidRPr="00AC0422">
              <w:rPr>
                <w:rFonts w:eastAsia="Batang" w:cstheme="minorHAnsi"/>
                <w:sz w:val="18"/>
                <w:szCs w:val="18"/>
                <w:lang w:val="en-GB"/>
              </w:rPr>
              <w:t>i</w:t>
            </w:r>
            <w:proofErr w:type="spellEnd"/>
            <w:r w:rsidRPr="00AC0422">
              <w:rPr>
                <w:rFonts w:eastAsia="Batang" w:cstheme="minorHAnsi"/>
                <w:sz w:val="18"/>
                <w:szCs w:val="18"/>
                <w:lang w:val="en-GB"/>
              </w:rPr>
              <w:t>) including water-sector climate risks based on climate risk and vulnerability assessments to be done (Activity 3.2.2.1).</w:t>
            </w:r>
          </w:p>
          <w:p w14:paraId="17E6ACB3"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lang w:val="en-GB"/>
              </w:rPr>
              <w:t>ii)</w:t>
            </w:r>
            <w:r w:rsidRPr="00AC0422">
              <w:rPr>
                <w:rFonts w:cstheme="minorHAnsi"/>
                <w:sz w:val="18"/>
                <w:szCs w:val="18"/>
              </w:rPr>
              <w:t xml:space="preserve"> </w:t>
            </w:r>
            <w:r w:rsidRPr="00AC0422">
              <w:rPr>
                <w:rFonts w:eastAsia="Batang" w:cstheme="minorHAnsi"/>
                <w:sz w:val="18"/>
                <w:szCs w:val="18"/>
              </w:rPr>
              <w:t>Align NWSSIP investments with the NAP project’s goal of building resilient water supply systems and irrigation networks;</w:t>
            </w:r>
          </w:p>
          <w:p w14:paraId="077C13BE"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iii) Integrate climate data collection and modeling into NWSSIP’s existing water resource monitoring systems, linked to the NAP Portal;</w:t>
            </w:r>
          </w:p>
          <w:p w14:paraId="3E0E02CA"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iv) Expand NWSSIP’s training programs to include climate risk management and adaptation planning for water sector professionals using the NAP training modules to be developed;</w:t>
            </w:r>
          </w:p>
          <w:p w14:paraId="3A8DE403"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v) Update water governance policies under NWSSIP to explicitly include climate adaptation strategies and ensure coherence with the NAP framework</w:t>
            </w:r>
          </w:p>
          <w:p w14:paraId="70711EC1"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lang w:val="en-GB"/>
              </w:rPr>
            </w:pPr>
            <w:r w:rsidRPr="00AC0422">
              <w:rPr>
                <w:rFonts w:eastAsia="Batang" w:cstheme="minorHAnsi"/>
                <w:sz w:val="18"/>
                <w:szCs w:val="18"/>
              </w:rPr>
              <w:t>vi) Align NWSSIP’s investment priorities with the NAP project’s adaptation funding strategy, including accessing Green Climate Fund (GCF) resources.</w:t>
            </w:r>
          </w:p>
        </w:tc>
      </w:tr>
      <w:tr w:rsidR="0055662A" w:rsidRPr="00AC0422" w14:paraId="589B8C47" w14:textId="77777777" w:rsidTr="009E1AAB">
        <w:trPr>
          <w:trHeight w:val="3544"/>
        </w:trPr>
        <w:tc>
          <w:tcPr>
            <w:cnfStyle w:val="001000000000" w:firstRow="0" w:lastRow="0" w:firstColumn="1" w:lastColumn="0" w:oddVBand="0" w:evenVBand="0" w:oddHBand="0" w:evenHBand="0" w:firstRowFirstColumn="0" w:firstRowLastColumn="0" w:lastRowFirstColumn="0" w:lastRowLastColumn="0"/>
            <w:tcW w:w="1747" w:type="dxa"/>
          </w:tcPr>
          <w:p w14:paraId="5D8F1EFC" w14:textId="77777777" w:rsidR="0055662A" w:rsidRPr="00AC0422" w:rsidRDefault="0055662A" w:rsidP="00391BF1">
            <w:pPr>
              <w:ind w:right="-29"/>
              <w:rPr>
                <w:rFonts w:eastAsia="Batang" w:cstheme="minorHAnsi"/>
                <w:color w:val="000000"/>
                <w:sz w:val="18"/>
                <w:szCs w:val="18"/>
                <w:highlight w:val="yellow"/>
              </w:rPr>
            </w:pPr>
            <w:r w:rsidRPr="00AC0422">
              <w:rPr>
                <w:rFonts w:eastAsia="Batang" w:cstheme="minorHAnsi"/>
                <w:color w:val="000000"/>
                <w:sz w:val="18"/>
                <w:szCs w:val="18"/>
              </w:rPr>
              <w:lastRenderedPageBreak/>
              <w:t>Water Law (2002)</w:t>
            </w:r>
          </w:p>
        </w:tc>
        <w:tc>
          <w:tcPr>
            <w:tcW w:w="5661" w:type="dxa"/>
          </w:tcPr>
          <w:p w14:paraId="56A49A3D"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The Water Law of Yemen (2002) was enacted to provide a regulatory framework for water resource management, conservation, and sustainable use. It focuses on addressing Yemen’s critical water scarcity and promoting equitable access to water resources. It’s key objectives are to:</w:t>
            </w:r>
          </w:p>
          <w:p w14:paraId="03BDF732"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Establish the National Water Resources Authority (NWRA) as the central body responsible for water management and policy implementation; </w:t>
            </w:r>
          </w:p>
          <w:p w14:paraId="29C0F542"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Prevent depletion of groundwater and surface water resources; </w:t>
            </w:r>
          </w:p>
          <w:p w14:paraId="6A8DB260"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Promote efficient water use through regulation and conservation;</w:t>
            </w:r>
          </w:p>
          <w:p w14:paraId="5900FF11"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Implement permits for drilling wells and extracting groundwater; </w:t>
            </w:r>
          </w:p>
          <w:p w14:paraId="16460220"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Establish water allocation rules for agricultural, domestic, and industrial uses; </w:t>
            </w:r>
          </w:p>
          <w:p w14:paraId="16CC3C07"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Mandate the creation of local water user associations (WUAs) and basin-level committees; Prevent water pollution and protect water quality standards; </w:t>
            </w:r>
          </w:p>
          <w:p w14:paraId="34278713"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Encourage stakeholder involvement in water management, particularly through WUAs.</w:t>
            </w:r>
          </w:p>
          <w:p w14:paraId="6B75B605"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p>
          <w:p w14:paraId="1DD4E105"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b/>
                <w:bCs/>
                <w:sz w:val="18"/>
                <w:szCs w:val="18"/>
              </w:rPr>
              <w:t>CCA Gaps</w:t>
            </w:r>
            <w:r w:rsidRPr="00AC0422">
              <w:rPr>
                <w:rFonts w:cstheme="minorHAnsi"/>
                <w:sz w:val="18"/>
                <w:szCs w:val="18"/>
              </w:rPr>
              <w:t xml:space="preserve">: </w:t>
            </w:r>
          </w:p>
          <w:p w14:paraId="0AC93265"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Does not include provisions for addressing climate-induced risks such as droughts, floods, and sea-level rise; </w:t>
            </w:r>
          </w:p>
          <w:p w14:paraId="639EFB4C"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Lacks climate adaptation measures such as resilient water infrastructure or drought management strategies; </w:t>
            </w:r>
          </w:p>
          <w:p w14:paraId="651B6BB2"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Does not integrate water management with climate-resilient agriculture or public health planning; </w:t>
            </w:r>
          </w:p>
          <w:p w14:paraId="67FF8ABE"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Does not mandate collection of climate-specific data such as precipitation patterns or temperature trends; </w:t>
            </w:r>
          </w:p>
          <w:p w14:paraId="517A7742"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Does not include training or awareness-building related to climate change impacts and adaptive water resource management; </w:t>
            </w:r>
          </w:p>
          <w:p w14:paraId="623E0FD1"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NWRA’s role does not include climate change adaptation, limiting its capacity to address emerging climate risks; </w:t>
            </w:r>
          </w:p>
          <w:p w14:paraId="01F1B3E6"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No provisions for adaptive governance to respond to climate variability and extreme weather events; </w:t>
            </w:r>
          </w:p>
          <w:p w14:paraId="308F3268"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Does not include mechanisms to increase public awareness of climate risks or involve communities in adaptive water management.</w:t>
            </w:r>
          </w:p>
        </w:tc>
        <w:tc>
          <w:tcPr>
            <w:tcW w:w="5636" w:type="dxa"/>
          </w:tcPr>
          <w:p w14:paraId="008D8DF0"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b/>
                <w:bCs/>
                <w:sz w:val="18"/>
                <w:szCs w:val="18"/>
              </w:rPr>
            </w:pPr>
            <w:r w:rsidRPr="00AC0422">
              <w:rPr>
                <w:rFonts w:eastAsia="Batang" w:cstheme="minorHAnsi"/>
                <w:b/>
                <w:bCs/>
                <w:sz w:val="18"/>
                <w:szCs w:val="18"/>
              </w:rPr>
              <w:t>Alignment with NAP</w:t>
            </w:r>
          </w:p>
          <w:p w14:paraId="518AE59C"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The Water Law’s emphasis on sustainable water resource management aligns with the NAP project’s objective to enhance water resilience. It promotes local water governance through WUAs and basin committees, which can be leveraged to integrate climate adaptation at the community level.  NWRA’s role as the central regulatory body aligns with the NAP project’s need for institutional coordination in water sector adaptation.</w:t>
            </w:r>
          </w:p>
          <w:p w14:paraId="58977F11"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 xml:space="preserve">To further align with NAP the </w:t>
            </w:r>
            <w:r w:rsidRPr="00AC0422">
              <w:rPr>
                <w:rFonts w:eastAsia="Batang" w:cstheme="minorHAnsi"/>
                <w:b/>
                <w:bCs/>
                <w:sz w:val="18"/>
                <w:szCs w:val="18"/>
              </w:rPr>
              <w:t xml:space="preserve">Water Law </w:t>
            </w:r>
            <w:r w:rsidRPr="00AC0422">
              <w:rPr>
                <w:rFonts w:eastAsia="Batang" w:cstheme="minorHAnsi"/>
                <w:sz w:val="18"/>
                <w:szCs w:val="18"/>
              </w:rPr>
              <w:t xml:space="preserve">can be enhanced to: </w:t>
            </w:r>
          </w:p>
          <w:p w14:paraId="46F29BF9"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proofErr w:type="spellStart"/>
            <w:r w:rsidRPr="00AC0422">
              <w:rPr>
                <w:rFonts w:eastAsia="Batang" w:cstheme="minorHAnsi"/>
                <w:sz w:val="18"/>
                <w:szCs w:val="18"/>
              </w:rPr>
              <w:t>i</w:t>
            </w:r>
            <w:proofErr w:type="spellEnd"/>
            <w:r w:rsidRPr="00AC0422">
              <w:rPr>
                <w:rFonts w:eastAsia="Batang" w:cstheme="minorHAnsi"/>
                <w:sz w:val="18"/>
                <w:szCs w:val="18"/>
              </w:rPr>
              <w:t>) explicitly address climate risks such as reduced water availability, increased variability in precipitation, and rising sea levels impacting coastal aquifers;</w:t>
            </w:r>
          </w:p>
          <w:p w14:paraId="64566F67"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 Update NWRA’s mandate to include responsibilities for climate risk management and adaptation planning;</w:t>
            </w:r>
          </w:p>
          <w:p w14:paraId="62FCBB5A"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iii)</w:t>
            </w:r>
            <w:r w:rsidRPr="00AC0422">
              <w:rPr>
                <w:rFonts w:cstheme="minorHAnsi"/>
                <w:sz w:val="18"/>
                <w:szCs w:val="18"/>
              </w:rPr>
              <w:t xml:space="preserve"> I</w:t>
            </w:r>
            <w:r w:rsidRPr="00AC0422">
              <w:rPr>
                <w:rFonts w:eastAsia="Batang" w:cstheme="minorHAnsi"/>
                <w:sz w:val="18"/>
                <w:szCs w:val="18"/>
              </w:rPr>
              <w:t>ncorporate linkages between water management and climate-resilient agriculture, health, and coastal zone planning;</w:t>
            </w:r>
          </w:p>
          <w:p w14:paraId="14AC4BFB"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iv) Mandate the collection and analysis of climate-specific data, including rainfall patterns, drought indicators, and flood risks, to inform adaptive water management;</w:t>
            </w:r>
          </w:p>
          <w:p w14:paraId="30EB9F52"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v) Include provisions for infrastructure investments such as flood defenses, water storage systems, and drought-resistant technologies;</w:t>
            </w:r>
          </w:p>
          <w:p w14:paraId="5A4BDD09"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vi) Expand capacity-building initiatives under the law to include climate risk management for water sector professionals and local communities;</w:t>
            </w:r>
          </w:p>
          <w:p w14:paraId="2B6B90B7"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 xml:space="preserve">vii) Incorporate mechanisms to increase awareness of climate risks and adaptation strategies among water users and stakeholders. </w:t>
            </w:r>
          </w:p>
        </w:tc>
      </w:tr>
      <w:tr w:rsidR="0055662A" w:rsidRPr="00AC0422" w14:paraId="1000013B" w14:textId="77777777" w:rsidTr="009E1AAB">
        <w:trPr>
          <w:cnfStyle w:val="000000100000" w:firstRow="0" w:lastRow="0" w:firstColumn="0" w:lastColumn="0" w:oddVBand="0" w:evenVBand="0" w:oddHBand="1" w:evenHBand="0" w:firstRowFirstColumn="0" w:firstRowLastColumn="0" w:lastRowFirstColumn="0" w:lastRowLastColumn="0"/>
          <w:trHeight w:val="4653"/>
        </w:trPr>
        <w:tc>
          <w:tcPr>
            <w:cnfStyle w:val="001000000000" w:firstRow="0" w:lastRow="0" w:firstColumn="1" w:lastColumn="0" w:oddVBand="0" w:evenVBand="0" w:oddHBand="0" w:evenHBand="0" w:firstRowFirstColumn="0" w:firstRowLastColumn="0" w:lastRowFirstColumn="0" w:lastRowLastColumn="0"/>
            <w:tcW w:w="1747" w:type="dxa"/>
          </w:tcPr>
          <w:p w14:paraId="62616ACA" w14:textId="77777777" w:rsidR="0055662A" w:rsidRPr="00AC0422" w:rsidRDefault="0055662A" w:rsidP="00391BF1">
            <w:pPr>
              <w:ind w:right="-29"/>
              <w:rPr>
                <w:rFonts w:eastAsia="Batang" w:cstheme="minorHAnsi"/>
                <w:color w:val="000000"/>
                <w:sz w:val="18"/>
                <w:szCs w:val="18"/>
                <w:highlight w:val="yellow"/>
              </w:rPr>
            </w:pPr>
            <w:r w:rsidRPr="00AC0422">
              <w:rPr>
                <w:rFonts w:cstheme="minorHAnsi"/>
                <w:sz w:val="18"/>
                <w:szCs w:val="18"/>
                <w:lang w:val="en-GB"/>
              </w:rPr>
              <w:lastRenderedPageBreak/>
              <w:t>National Agriculture and Fisheries Strategy and Investment Plan NAFSIP – 2024-2030</w:t>
            </w:r>
          </w:p>
        </w:tc>
        <w:tc>
          <w:tcPr>
            <w:tcW w:w="5661" w:type="dxa"/>
          </w:tcPr>
          <w:p w14:paraId="4E4AAFE8"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 xml:space="preserve">The NAFSIP is Yemen’s roadmap for revitalizing the agriculture and fisheries sectors as engines of economic recovery and sustainable development, emphasizing food security, rural livelihoods, and sustainable natural resource management. It’s main objectives are: to enhance productivity and efficiency in agriculture and fisheries to ensure food security and increase exports.  It’s key objectives are to: </w:t>
            </w:r>
          </w:p>
          <w:p w14:paraId="224B4008"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 xml:space="preserve">Modernize farming and fishing practices to improve yields and reduce post-harvest losses.    </w:t>
            </w:r>
          </w:p>
          <w:p w14:paraId="3BE44A33"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 xml:space="preserve">Promote sustainable land use, water management, and marine resource conservation to prevent overexploitation. </w:t>
            </w:r>
          </w:p>
          <w:p w14:paraId="3FFF5175"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Create employment opportunities in rural areas, particularly for women and youth, by supporting smallholder farmers and fishers</w:t>
            </w:r>
          </w:p>
          <w:p w14:paraId="40E4C18E"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Build the capacity of agriculture and fisheries-related institutions to implement policies and regulations effectively;</w:t>
            </w:r>
          </w:p>
          <w:p w14:paraId="22E24C70"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Foster partnerships with private investors to improve value chains, infrastructure, and market access;</w:t>
            </w:r>
          </w:p>
          <w:p w14:paraId="5E9B3516"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Strengthen the resilience of agriculture and fisheries to environmental shocks and economic disruptions.</w:t>
            </w:r>
          </w:p>
          <w:p w14:paraId="03506304"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p>
          <w:p w14:paraId="3DF331A6"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b/>
                <w:bCs/>
                <w:sz w:val="18"/>
                <w:szCs w:val="18"/>
              </w:rPr>
              <w:t>CCA Gaps</w:t>
            </w:r>
            <w:r w:rsidRPr="00AC0422">
              <w:rPr>
                <w:rFonts w:cstheme="minorHAnsi"/>
                <w:sz w:val="18"/>
                <w:szCs w:val="18"/>
              </w:rPr>
              <w:t xml:space="preserve">: </w:t>
            </w:r>
          </w:p>
          <w:p w14:paraId="35C472B1"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 xml:space="preserve">Lacks comprehensive identification of climate-specific risks like changing precipitation patterns, sea-level rise, and temperature increases; </w:t>
            </w:r>
          </w:p>
          <w:p w14:paraId="4C70C26C"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explicitly integrate climate adaptation strategies, such as drought-resistant crops or flood-resilient aquaculture systems;</w:t>
            </w:r>
          </w:p>
          <w:p w14:paraId="1CDF8613"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Limited cross-sectoral integration of climate-resilient approaches with water, coastal zones, and health sectors;</w:t>
            </w:r>
          </w:p>
          <w:p w14:paraId="46273C67"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mandate climate-specific data collection, such as seasonal variability impacts or extreme weather patterns;</w:t>
            </w:r>
          </w:p>
          <w:p w14:paraId="6A45096B"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Lacks targeted training on climate adaptation techniques, such as climate-smart agriculture or sustainable fisheries under changing climatic conditions;</w:t>
            </w:r>
          </w:p>
          <w:p w14:paraId="75872B14"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include adaptive governance mechanisms to address dynamic climate risks;</w:t>
            </w:r>
          </w:p>
          <w:p w14:paraId="5D8C9CF8"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No clear focus on climate-resilient infrastructure (e.g., irrigation systems, flood defenses) or access to climate finance mechanisms.</w:t>
            </w:r>
          </w:p>
          <w:p w14:paraId="766EB5ED"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5636" w:type="dxa"/>
          </w:tcPr>
          <w:p w14:paraId="10462B27"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The NAFSIP emphasizes the importance of sustainable land, water, and marine resource management. The NAP process can enhance NAFSIP’s objectives by incorporating climate adaptation strategies for resource conservation. The NAP project’s focus on resilience aligns with NAFSIP’s objectives to mitigate environmental shocks in agriculture and fisheries This can be achieved by the integration of NAP’s climate risk assessments to strengthen resilience-building efforts under NAFSIP. The NAP process can build on NAFSIP’s emphasis on institutional capacity by introducing tools and frameworks for climate adaptation planning and implementation. Both NAFSIP and NAP prioritize engaging the private sector.  NAP project will provide opportunity to mobilize blended investments in climate-resilient agriculture and fisheries through the finance strategy that will be developed.</w:t>
            </w:r>
          </w:p>
          <w:p w14:paraId="6EF239C7"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 xml:space="preserve">To further align with NAP the </w:t>
            </w:r>
            <w:r w:rsidRPr="00AC0422">
              <w:rPr>
                <w:rFonts w:eastAsia="Batang" w:cstheme="minorHAnsi"/>
                <w:b/>
                <w:bCs/>
                <w:sz w:val="18"/>
                <w:szCs w:val="18"/>
              </w:rPr>
              <w:t>NAFSIP</w:t>
            </w:r>
            <w:r w:rsidRPr="00AC0422">
              <w:rPr>
                <w:rFonts w:eastAsia="Batang" w:cstheme="minorHAnsi"/>
                <w:sz w:val="18"/>
                <w:szCs w:val="18"/>
              </w:rPr>
              <w:t xml:space="preserve"> can be enhanced to:</w:t>
            </w:r>
          </w:p>
          <w:p w14:paraId="5D9F737D"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proofErr w:type="spellStart"/>
            <w:r w:rsidRPr="00AC0422">
              <w:rPr>
                <w:rFonts w:eastAsia="Batang" w:cstheme="minorHAnsi"/>
                <w:sz w:val="18"/>
                <w:szCs w:val="18"/>
              </w:rPr>
              <w:t>i</w:t>
            </w:r>
            <w:proofErr w:type="spellEnd"/>
            <w:r w:rsidRPr="00AC0422">
              <w:rPr>
                <w:rFonts w:eastAsia="Batang" w:cstheme="minorHAnsi"/>
                <w:sz w:val="18"/>
                <w:szCs w:val="18"/>
              </w:rPr>
              <w:t>) Incorporate the NAP project’s climate risk assessments to identify region-specific vulnerabilities in agriculture and fisheries;</w:t>
            </w:r>
          </w:p>
          <w:p w14:paraId="491E6757"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 Include climate-smart agriculture (e.g., drought-resistant crops, efficient irrigation systems) and fisheries adaptation strategies (e.g., resilient aquaculture practices) in NAFSIP;</w:t>
            </w:r>
          </w:p>
          <w:p w14:paraId="2E6F41C8"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iii) Establish mechanisms for collecting and analyzing climate-specific data on agriculture and fisheries, linked to the NAP Portal;</w:t>
            </w:r>
          </w:p>
          <w:p w14:paraId="7D3B72F0"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iv) Align NAFSIP’s actions with NAP project priorities in water and coastal zone management to address overlapping climate challenges;</w:t>
            </w:r>
          </w:p>
          <w:p w14:paraId="6CB566DB"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v) Access funding through the NAP project’s adaptation finance strategy to support investments in climate-resilient infrastructure and practices;</w:t>
            </w:r>
          </w:p>
          <w:p w14:paraId="0637E190"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vi) Expand NAFSIP’s training programs to include climate adaptation techniques, such as agroforestry, soil conservation, and sustainable marine practices.</w:t>
            </w:r>
          </w:p>
          <w:p w14:paraId="28D50A7C"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p>
        </w:tc>
      </w:tr>
      <w:tr w:rsidR="0055662A" w:rsidRPr="00AC0422" w14:paraId="2EF14C30" w14:textId="77777777" w:rsidTr="009E1AAB">
        <w:trPr>
          <w:trHeight w:val="4653"/>
        </w:trPr>
        <w:tc>
          <w:tcPr>
            <w:cnfStyle w:val="001000000000" w:firstRow="0" w:lastRow="0" w:firstColumn="1" w:lastColumn="0" w:oddVBand="0" w:evenVBand="0" w:oddHBand="0" w:evenHBand="0" w:firstRowFirstColumn="0" w:firstRowLastColumn="0" w:lastRowFirstColumn="0" w:lastRowLastColumn="0"/>
            <w:tcW w:w="1747" w:type="dxa"/>
          </w:tcPr>
          <w:p w14:paraId="6B3BE12A" w14:textId="77777777" w:rsidR="0055662A" w:rsidRPr="00AC0422" w:rsidRDefault="0055662A" w:rsidP="00391BF1">
            <w:pPr>
              <w:ind w:right="-29"/>
              <w:rPr>
                <w:rFonts w:cstheme="minorHAnsi"/>
                <w:b w:val="0"/>
                <w:bCs w:val="0"/>
                <w:sz w:val="18"/>
                <w:szCs w:val="18"/>
                <w:lang w:val="en-GB"/>
              </w:rPr>
            </w:pPr>
            <w:r w:rsidRPr="00AC0422">
              <w:rPr>
                <w:rFonts w:cstheme="minorHAnsi"/>
                <w:sz w:val="18"/>
                <w:szCs w:val="18"/>
                <w:lang w:val="en-GB"/>
              </w:rPr>
              <w:lastRenderedPageBreak/>
              <w:t>National Health Strategy (2011-2025).</w:t>
            </w:r>
          </w:p>
          <w:p w14:paraId="7339F2F4" w14:textId="77777777" w:rsidR="0055662A" w:rsidRPr="00AC0422" w:rsidRDefault="0055662A" w:rsidP="00391BF1">
            <w:pPr>
              <w:ind w:right="-29"/>
              <w:rPr>
                <w:rFonts w:cstheme="minorHAnsi"/>
                <w:sz w:val="18"/>
                <w:szCs w:val="18"/>
                <w:lang w:val="en-GB"/>
              </w:rPr>
            </w:pPr>
          </w:p>
          <w:p w14:paraId="112A6DA9" w14:textId="77777777" w:rsidR="0055662A" w:rsidRPr="00AC0422" w:rsidRDefault="0055662A" w:rsidP="00391BF1">
            <w:pPr>
              <w:ind w:right="-29"/>
              <w:rPr>
                <w:rFonts w:cstheme="minorHAnsi"/>
                <w:b w:val="0"/>
                <w:bCs w:val="0"/>
                <w:sz w:val="18"/>
                <w:szCs w:val="18"/>
              </w:rPr>
            </w:pPr>
            <w:r w:rsidRPr="00AC0422">
              <w:rPr>
                <w:rFonts w:cstheme="minorHAnsi"/>
                <w:sz w:val="18"/>
                <w:szCs w:val="18"/>
              </w:rPr>
              <w:t>It is being implemented through a variety of initiatives, including:</w:t>
            </w:r>
          </w:p>
          <w:p w14:paraId="23BD98FB" w14:textId="77777777" w:rsidR="0055662A" w:rsidRPr="00AC0422" w:rsidRDefault="0055662A" w:rsidP="00391BF1">
            <w:pPr>
              <w:ind w:right="-29"/>
              <w:rPr>
                <w:rFonts w:cstheme="minorHAnsi"/>
                <w:sz w:val="18"/>
                <w:szCs w:val="18"/>
              </w:rPr>
            </w:pPr>
          </w:p>
          <w:p w14:paraId="3BA28B95" w14:textId="77777777" w:rsidR="0055662A" w:rsidRPr="00AC0422" w:rsidRDefault="0055662A" w:rsidP="00391BF1">
            <w:pPr>
              <w:ind w:left="-16" w:right="-29"/>
              <w:rPr>
                <w:rFonts w:cstheme="minorHAnsi"/>
                <w:b w:val="0"/>
                <w:bCs w:val="0"/>
                <w:sz w:val="18"/>
                <w:szCs w:val="18"/>
              </w:rPr>
            </w:pPr>
            <w:r w:rsidRPr="00AC0422">
              <w:rPr>
                <w:rFonts w:cstheme="minorHAnsi"/>
                <w:sz w:val="18"/>
                <w:szCs w:val="18"/>
              </w:rPr>
              <w:t>National Quality of Health Care Strategy (2025–);</w:t>
            </w:r>
          </w:p>
          <w:p w14:paraId="65D1A805" w14:textId="77777777" w:rsidR="0055662A" w:rsidRPr="00AC0422" w:rsidRDefault="0055662A" w:rsidP="00391BF1">
            <w:pPr>
              <w:ind w:left="-16" w:right="-29"/>
              <w:rPr>
                <w:rFonts w:cstheme="minorHAnsi"/>
                <w:sz w:val="18"/>
                <w:szCs w:val="18"/>
              </w:rPr>
            </w:pPr>
            <w:r w:rsidRPr="00AC0422">
              <w:rPr>
                <w:rFonts w:cstheme="minorHAnsi"/>
                <w:sz w:val="18"/>
                <w:szCs w:val="18"/>
              </w:rPr>
              <w:t xml:space="preserve"> </w:t>
            </w:r>
          </w:p>
          <w:p w14:paraId="3727C04D" w14:textId="77777777" w:rsidR="0055662A" w:rsidRPr="00AC0422" w:rsidRDefault="0055662A" w:rsidP="00391BF1">
            <w:pPr>
              <w:ind w:left="-16" w:right="-29"/>
              <w:rPr>
                <w:rFonts w:cstheme="minorHAnsi"/>
                <w:b w:val="0"/>
                <w:bCs w:val="0"/>
                <w:sz w:val="18"/>
                <w:szCs w:val="18"/>
              </w:rPr>
            </w:pPr>
            <w:r w:rsidRPr="00AC0422">
              <w:rPr>
                <w:rFonts w:cstheme="minorHAnsi"/>
                <w:sz w:val="18"/>
                <w:szCs w:val="18"/>
              </w:rPr>
              <w:t xml:space="preserve">Country Cooperation Strategy (CCS) (2024–2025); </w:t>
            </w:r>
          </w:p>
          <w:p w14:paraId="0B0926D0" w14:textId="77777777" w:rsidR="0055662A" w:rsidRPr="00AC0422" w:rsidRDefault="0055662A" w:rsidP="00391BF1">
            <w:pPr>
              <w:ind w:left="-16" w:right="-29"/>
              <w:rPr>
                <w:rFonts w:cstheme="minorHAnsi"/>
                <w:sz w:val="18"/>
                <w:szCs w:val="18"/>
              </w:rPr>
            </w:pPr>
          </w:p>
          <w:p w14:paraId="42A2C6D0" w14:textId="6BE1AF85" w:rsidR="0055662A" w:rsidRPr="00AC0422" w:rsidRDefault="0055662A" w:rsidP="00F17F04">
            <w:pPr>
              <w:ind w:left="-16" w:right="-29"/>
              <w:rPr>
                <w:rFonts w:cstheme="minorHAnsi"/>
                <w:sz w:val="18"/>
                <w:szCs w:val="18"/>
              </w:rPr>
            </w:pPr>
            <w:r w:rsidRPr="00AC0422">
              <w:rPr>
                <w:rFonts w:cstheme="minorHAnsi"/>
                <w:sz w:val="18"/>
                <w:szCs w:val="18"/>
              </w:rPr>
              <w:t>Emergency Human Capital Project (EHCP).</w:t>
            </w:r>
          </w:p>
        </w:tc>
        <w:tc>
          <w:tcPr>
            <w:tcW w:w="5661" w:type="dxa"/>
          </w:tcPr>
          <w:p w14:paraId="79B1F6D8"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National Health Strategy (2011–2025): Aims to achieve universal health coverage through improved access to quality healthcare, particularly for marginalized and vulnerable populations. Focuses on maternal and child health, communicable disease control, health financing, and system strengthening.</w:t>
            </w:r>
          </w:p>
          <w:p w14:paraId="3B57C224"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p>
          <w:p w14:paraId="30BFBAB7"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National Quality of Health Care Strategy (2025–): Emphasizes the improvement of healthcare service delivery through adherence to quality standards. Promotes capacity building for healthcare workers, patient safety protocols, and accountability mechanisms.</w:t>
            </w:r>
          </w:p>
          <w:p w14:paraId="466ADDF0"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p>
          <w:p w14:paraId="0CD129C4"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Country Cooperation Strategy (CCS) (2024–2025): Developed in collaboration with the World Health Organization (WHO), it outlines Yemen’s priorities for health system development.</w:t>
            </w:r>
          </w:p>
          <w:p w14:paraId="4F3BF50E"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Focus areas include strengthening governance, disease prevention, and addressing health inequities.</w:t>
            </w:r>
          </w:p>
          <w:p w14:paraId="4A350469"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p>
          <w:p w14:paraId="6EF70051"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Emergency Human Capital Project (EHCP): Aims to support Yemen’s health, nutrition, and social safety nets in response to the country’s ongoing crises. Provides emergency healthcare services, rehabilitation of health facilities, and nutritional support for children and pregnant women.</w:t>
            </w:r>
          </w:p>
          <w:p w14:paraId="14D40AE8"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p>
          <w:p w14:paraId="25B313EA"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b/>
                <w:bCs/>
                <w:sz w:val="18"/>
                <w:szCs w:val="18"/>
              </w:rPr>
              <w:t>CCA Gaps</w:t>
            </w:r>
            <w:r w:rsidRPr="00AC0422">
              <w:rPr>
                <w:rFonts w:cstheme="minorHAnsi"/>
                <w:sz w:val="18"/>
                <w:szCs w:val="18"/>
              </w:rPr>
              <w:t xml:space="preserve">: </w:t>
            </w:r>
          </w:p>
          <w:p w14:paraId="620FC33C"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No assessment of climate-related health risks such as heat stress, vector-borne diseases, and extreme weather events;</w:t>
            </w:r>
          </w:p>
          <w:p w14:paraId="11C1BCBA"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Lacks strategies for climate-resilient health infrastructure or service delivery;</w:t>
            </w:r>
          </w:p>
          <w:p w14:paraId="5071DC93"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Does not incorporate climate-sensitive disease trends (e.g., malaria, cholera, dengue fever);</w:t>
            </w:r>
          </w:p>
          <w:p w14:paraId="3B27C54D"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Lacks integration of climate-induced emergencies like heatwaves, floods, and droughts into preparedness planning;</w:t>
            </w:r>
          </w:p>
          <w:p w14:paraId="7FC8E2E6"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Does not address climate-related health risks or adaptation measures in awareness and training programs;</w:t>
            </w:r>
          </w:p>
          <w:p w14:paraId="58B5A024"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Limited integration with climate adaptation efforts in other sectors such as agriculture, water, and coastal zone management;</w:t>
            </w:r>
          </w:p>
          <w:p w14:paraId="4ACD7864"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lastRenderedPageBreak/>
              <w:t>Does not include governance mechanisms for addressing health impacts of climate variability and change;</w:t>
            </w:r>
          </w:p>
          <w:p w14:paraId="47908312" w14:textId="77777777" w:rsidR="0055662A" w:rsidRPr="00AC0422" w:rsidRDefault="0055662A" w:rsidP="00391BF1">
            <w:pPr>
              <w:ind w:left="-16" w:right="-29"/>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Does not include provisions for mobilizing climate finance to address climate-sensitive health challenges.</w:t>
            </w:r>
          </w:p>
        </w:tc>
        <w:tc>
          <w:tcPr>
            <w:tcW w:w="5636" w:type="dxa"/>
          </w:tcPr>
          <w:p w14:paraId="0E013537"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lastRenderedPageBreak/>
              <w:t>NHS emphasizes equity and accessibility, especially for vulnerable populations in climate-affected regions which aligns with the NAP. It focuses on communicable disease control which also aligns with the NAP project’s objective to address climate-sensitive diseases.  NAP project will further support these focuses areas through the climate risk and vulnerability assessments it will produce which will identify climate-induced health risk and vulnerability. The NHS prioritization of health awareness campaigns provides an entry point for integrating climate-related health risks and adaptation measures.</w:t>
            </w:r>
          </w:p>
          <w:p w14:paraId="5F633321"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 xml:space="preserve">To further align with NAP the </w:t>
            </w:r>
            <w:r w:rsidRPr="00AC0422">
              <w:rPr>
                <w:rFonts w:eastAsia="Batang" w:cstheme="minorHAnsi"/>
                <w:b/>
                <w:bCs/>
                <w:sz w:val="18"/>
                <w:szCs w:val="18"/>
              </w:rPr>
              <w:t>NHS</w:t>
            </w:r>
            <w:r w:rsidRPr="00AC0422">
              <w:rPr>
                <w:rFonts w:eastAsia="Batang" w:cstheme="minorHAnsi"/>
                <w:sz w:val="18"/>
                <w:szCs w:val="18"/>
              </w:rPr>
              <w:t xml:space="preserve"> can be enhanced to:</w:t>
            </w:r>
          </w:p>
          <w:p w14:paraId="7BAD6302"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proofErr w:type="spellStart"/>
            <w:r w:rsidRPr="00AC0422">
              <w:rPr>
                <w:rFonts w:eastAsia="Batang" w:cstheme="minorHAnsi"/>
                <w:sz w:val="18"/>
                <w:szCs w:val="18"/>
              </w:rPr>
              <w:t>i</w:t>
            </w:r>
            <w:proofErr w:type="spellEnd"/>
            <w:r w:rsidRPr="00AC0422">
              <w:rPr>
                <w:rFonts w:eastAsia="Batang" w:cstheme="minorHAnsi"/>
                <w:sz w:val="18"/>
                <w:szCs w:val="18"/>
              </w:rPr>
              <w:t>)</w:t>
            </w:r>
            <w:r w:rsidRPr="00AC0422">
              <w:rPr>
                <w:rFonts w:cstheme="minorHAnsi"/>
                <w:sz w:val="18"/>
                <w:szCs w:val="18"/>
              </w:rPr>
              <w:t xml:space="preserve"> </w:t>
            </w:r>
            <w:r w:rsidRPr="00AC0422">
              <w:rPr>
                <w:rFonts w:eastAsia="Batang" w:cstheme="minorHAnsi"/>
                <w:sz w:val="18"/>
                <w:szCs w:val="18"/>
              </w:rPr>
              <w:t>Include climate-related health challenges such as heat stress, vector-borne diseases, and waterborne illnesses exacerbated by climate change;</w:t>
            </w:r>
          </w:p>
          <w:p w14:paraId="45BC44C1"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 Identify priority investment requirements in climate-resilient health facilities capable of withstanding extreme weather events;</w:t>
            </w:r>
          </w:p>
          <w:p w14:paraId="62A671B5"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iii)</w:t>
            </w:r>
            <w:r w:rsidRPr="00AC0422">
              <w:rPr>
                <w:rFonts w:cstheme="minorHAnsi"/>
                <w:sz w:val="18"/>
                <w:szCs w:val="18"/>
              </w:rPr>
              <w:t xml:space="preserve"> </w:t>
            </w:r>
            <w:r w:rsidRPr="00AC0422">
              <w:rPr>
                <w:rFonts w:eastAsia="Batang" w:cstheme="minorHAnsi"/>
                <w:sz w:val="18"/>
                <w:szCs w:val="18"/>
              </w:rPr>
              <w:t>Incorporate some climate-sensitive diseases into the NHS’s surveillance programs, supported by climate risk assessments from the NAP process;</w:t>
            </w:r>
          </w:p>
          <w:p w14:paraId="2665258A"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iv)</w:t>
            </w:r>
            <w:r w:rsidRPr="00AC0422">
              <w:rPr>
                <w:rFonts w:cstheme="minorHAnsi"/>
                <w:sz w:val="18"/>
                <w:szCs w:val="18"/>
              </w:rPr>
              <w:t xml:space="preserve"> </w:t>
            </w:r>
            <w:r w:rsidRPr="00AC0422">
              <w:rPr>
                <w:rFonts w:eastAsia="Batang" w:cstheme="minorHAnsi"/>
                <w:sz w:val="18"/>
                <w:szCs w:val="18"/>
              </w:rPr>
              <w:t>Include climate-induced disasters like floods and heatwaves in health sector emergency response plans;</w:t>
            </w:r>
          </w:p>
          <w:p w14:paraId="115DF17B"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v) Collaborate with NAP’s water and agriculture components to address health risks linked to water scarcity, malnutrition, and food insecurity;</w:t>
            </w:r>
          </w:p>
          <w:p w14:paraId="5C05C70F"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vi)</w:t>
            </w:r>
            <w:r w:rsidRPr="00AC0422">
              <w:rPr>
                <w:rFonts w:cstheme="minorHAnsi"/>
                <w:sz w:val="18"/>
                <w:szCs w:val="18"/>
              </w:rPr>
              <w:t xml:space="preserve"> </w:t>
            </w:r>
            <w:r w:rsidRPr="00AC0422">
              <w:rPr>
                <w:rFonts w:eastAsia="Batang" w:cstheme="minorHAnsi"/>
                <w:sz w:val="18"/>
                <w:szCs w:val="18"/>
              </w:rPr>
              <w:t>Develop public health campaigns addressing climate-related risks, such as hydration during heatwaves and prevention of waterborne diseases during floods;</w:t>
            </w:r>
          </w:p>
          <w:p w14:paraId="64B2804F" w14:textId="77777777" w:rsidR="0055662A" w:rsidRPr="00AC0422" w:rsidRDefault="0055662A" w:rsidP="00391BF1">
            <w:pPr>
              <w:spacing w:after="120"/>
              <w:ind w:right="-29"/>
              <w:cnfStyle w:val="000000000000" w:firstRow="0" w:lastRow="0" w:firstColumn="0" w:lastColumn="0" w:oddVBand="0" w:evenVBand="0" w:oddHBand="0" w:evenHBand="0" w:firstRowFirstColumn="0" w:firstRowLastColumn="0" w:lastRowFirstColumn="0" w:lastRowLastColumn="0"/>
              <w:rPr>
                <w:rFonts w:eastAsia="Batang" w:cstheme="minorHAnsi"/>
                <w:sz w:val="18"/>
                <w:szCs w:val="18"/>
              </w:rPr>
            </w:pPr>
            <w:r w:rsidRPr="00AC0422">
              <w:rPr>
                <w:rFonts w:eastAsia="Batang" w:cstheme="minorHAnsi"/>
                <w:sz w:val="18"/>
                <w:szCs w:val="18"/>
              </w:rPr>
              <w:t>vii)</w:t>
            </w:r>
            <w:r w:rsidRPr="00AC0422">
              <w:rPr>
                <w:rFonts w:cstheme="minorHAnsi"/>
                <w:sz w:val="18"/>
                <w:szCs w:val="18"/>
              </w:rPr>
              <w:t xml:space="preserve"> </w:t>
            </w:r>
            <w:r w:rsidRPr="00AC0422">
              <w:rPr>
                <w:rFonts w:eastAsia="Batang" w:cstheme="minorHAnsi"/>
                <w:sz w:val="18"/>
                <w:szCs w:val="18"/>
              </w:rPr>
              <w:t>Utilize the NAP project’s adaptation financing strategy to access resources for addressing climate-sensitive health priorities.</w:t>
            </w:r>
          </w:p>
        </w:tc>
      </w:tr>
      <w:tr w:rsidR="0055662A" w:rsidRPr="00AC0422" w14:paraId="0F1C5974" w14:textId="77777777" w:rsidTr="00F17F04">
        <w:trPr>
          <w:cnfStyle w:val="000000100000" w:firstRow="0" w:lastRow="0" w:firstColumn="0" w:lastColumn="0" w:oddVBand="0" w:evenVBand="0" w:oddHBand="1" w:evenHBand="0" w:firstRowFirstColumn="0" w:firstRowLastColumn="0" w:lastRowFirstColumn="0" w:lastRowLastColumn="0"/>
          <w:trHeight w:val="2262"/>
        </w:trPr>
        <w:tc>
          <w:tcPr>
            <w:cnfStyle w:val="001000000000" w:firstRow="0" w:lastRow="0" w:firstColumn="1" w:lastColumn="0" w:oddVBand="0" w:evenVBand="0" w:oddHBand="0" w:evenHBand="0" w:firstRowFirstColumn="0" w:firstRowLastColumn="0" w:lastRowFirstColumn="0" w:lastRowLastColumn="0"/>
            <w:tcW w:w="1747" w:type="dxa"/>
          </w:tcPr>
          <w:p w14:paraId="7A04A015" w14:textId="77777777" w:rsidR="0055662A" w:rsidRPr="00AC0422" w:rsidRDefault="0055662A" w:rsidP="00391BF1">
            <w:pPr>
              <w:ind w:right="-29"/>
              <w:rPr>
                <w:rFonts w:cstheme="minorHAnsi"/>
                <w:b w:val="0"/>
                <w:bCs w:val="0"/>
                <w:sz w:val="18"/>
                <w:szCs w:val="18"/>
                <w:lang w:val="en-GB"/>
              </w:rPr>
            </w:pPr>
            <w:r w:rsidRPr="00AC0422">
              <w:rPr>
                <w:rFonts w:cstheme="minorHAnsi"/>
                <w:sz w:val="18"/>
                <w:szCs w:val="18"/>
                <w:lang w:val="en-GB"/>
              </w:rPr>
              <w:t>National Agriculture and Fisheries Strategy and Investment Plan NAFSIP – 2024-2030</w:t>
            </w:r>
          </w:p>
        </w:tc>
        <w:tc>
          <w:tcPr>
            <w:tcW w:w="5661" w:type="dxa"/>
          </w:tcPr>
          <w:p w14:paraId="1E7E2CE2"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The National Agriculture and Fisheries Strategy and Investment Plan (NAFSIP) 2024–2030 aims to revitalize Yemen’s agriculture and fisheries sectors as engines of economic growth and food security. The plan identifies the coastal and fisheries sector as a priority for sustainable development, with a focus on resource conservation, market access, and resilience building. It’s key objectives are to:</w:t>
            </w:r>
          </w:p>
          <w:p w14:paraId="698C991D"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Implement measures to prevent overfishing and protect marine biodiversity;</w:t>
            </w:r>
          </w:p>
          <w:p w14:paraId="51DAE485"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Enhance marine resource monitoring and enforcement of fishing regulations;</w:t>
            </w:r>
          </w:p>
          <w:p w14:paraId="557DAD3D"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Invest in fishing ports, storage facilities, and fish processing plants to reduce post-harvest losses and improve value chains;</w:t>
            </w:r>
          </w:p>
          <w:p w14:paraId="516BDEB7"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 xml:space="preserve">Support small-scale fishers by providing access to credit, technology, and training; </w:t>
            </w:r>
          </w:p>
          <w:p w14:paraId="324BFF5A"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Increase employment opportunities in coastal communities, particularly for women and youth;</w:t>
            </w:r>
          </w:p>
          <w:p w14:paraId="288FF69D"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Promotes adaptive marine practices to mitigate environmental and economic shocks, including pollution and resource depletion;</w:t>
            </w:r>
          </w:p>
          <w:p w14:paraId="35F4B37C"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lastRenderedPageBreak/>
              <w:t>Strengthen domestic and international market access for fisheries products by improving quality standards and supply chains.</w:t>
            </w:r>
          </w:p>
          <w:p w14:paraId="07967CB5"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p>
          <w:p w14:paraId="333AEB5E"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b/>
                <w:bCs/>
                <w:sz w:val="18"/>
                <w:szCs w:val="18"/>
              </w:rPr>
              <w:t>CCA Gaps</w:t>
            </w:r>
            <w:r w:rsidRPr="00AC0422">
              <w:rPr>
                <w:rFonts w:cstheme="minorHAnsi"/>
                <w:sz w:val="18"/>
                <w:szCs w:val="18"/>
              </w:rPr>
              <w:t xml:space="preserve">: </w:t>
            </w:r>
          </w:p>
          <w:p w14:paraId="76645727"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Lacks a comprehensive assessment of climate-induced risks, such as ocean warming, sea-level rise, and changing fish migration patterns;</w:t>
            </w:r>
          </w:p>
          <w:p w14:paraId="0270637D"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explicitly include climate-resilient aquaculture or measures to protect coastal communities from climate-induced hazards like storms or flooding;</w:t>
            </w:r>
          </w:p>
          <w:p w14:paraId="2CA570AD"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mandate the collection of climate-related data such as sea temperature changes, salinity levels, and extreme weather patterns;</w:t>
            </w:r>
          </w:p>
          <w:p w14:paraId="61E07484"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Lacks provisions for climate-resilient infrastructure to withstand extreme weather events and sea-level rise;</w:t>
            </w:r>
          </w:p>
          <w:p w14:paraId="7AE2CA5C"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include targeted training on climate adaptation, such as early warning systems for storms or climate-resilient fishing techniques;</w:t>
            </w:r>
          </w:p>
          <w:p w14:paraId="697A2687"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incorporate climate adaptation into fisheries governance or promote integrated coastal zone management (ICZM);</w:t>
            </w:r>
          </w:p>
          <w:p w14:paraId="0E24F3AB"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emphasize community-based climate adaptation planning or inclusion of vulnerable groups in coastal zones;</w:t>
            </w:r>
          </w:p>
          <w:p w14:paraId="3AA4ACCE" w14:textId="77777777" w:rsidR="0055662A" w:rsidRPr="00AC0422" w:rsidRDefault="0055662A" w:rsidP="00391BF1">
            <w:pPr>
              <w:ind w:left="-16" w:right="-29"/>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Does not align investments with climate finance opportunities or prioritize funding for climate adaptation in coastal zones.</w:t>
            </w:r>
          </w:p>
        </w:tc>
        <w:tc>
          <w:tcPr>
            <w:tcW w:w="5636" w:type="dxa"/>
          </w:tcPr>
          <w:p w14:paraId="5A8631D4"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lastRenderedPageBreak/>
              <w:t xml:space="preserve">NAFSIP’s recognition of coastal zones as critical for fisheries aligns with the NAP project’s focus on integrating coastal resilience into national planning.  Its focus on fisheries management can be enhanced by the NAP project’s emphasis on climate-resilient natural resource management. The NAFSIP also aligns with the NAP project priority of improving livelihoods for coastal communities, through the integration climate adaptation strategies. The NAP project can enhance the NAFSIP by promoting climate-resilient infrastructure, such as storm-resistant ports and storage facilities. </w:t>
            </w:r>
          </w:p>
          <w:p w14:paraId="6932676F"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 xml:space="preserve">To further align with NAP the </w:t>
            </w:r>
            <w:r w:rsidRPr="00AC0422">
              <w:rPr>
                <w:rFonts w:eastAsia="Batang" w:cstheme="minorHAnsi"/>
                <w:b/>
                <w:bCs/>
                <w:sz w:val="18"/>
                <w:szCs w:val="18"/>
              </w:rPr>
              <w:t xml:space="preserve">NAFSIP </w:t>
            </w:r>
            <w:r w:rsidRPr="00AC0422">
              <w:rPr>
                <w:rFonts w:eastAsia="Batang" w:cstheme="minorHAnsi"/>
                <w:sz w:val="18"/>
                <w:szCs w:val="18"/>
              </w:rPr>
              <w:t>can be enhanced</w:t>
            </w:r>
            <w:r w:rsidRPr="00AC0422">
              <w:rPr>
                <w:rFonts w:eastAsia="Batang" w:cstheme="minorHAnsi"/>
                <w:b/>
                <w:bCs/>
                <w:sz w:val="18"/>
                <w:szCs w:val="18"/>
              </w:rPr>
              <w:t xml:space="preserve"> </w:t>
            </w:r>
            <w:r w:rsidRPr="00AC0422">
              <w:rPr>
                <w:rFonts w:eastAsia="Batang" w:cstheme="minorHAnsi"/>
                <w:sz w:val="18"/>
                <w:szCs w:val="18"/>
              </w:rPr>
              <w:t>to:</w:t>
            </w:r>
          </w:p>
          <w:p w14:paraId="4DB6E9DC"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proofErr w:type="spellStart"/>
            <w:r w:rsidRPr="00AC0422">
              <w:rPr>
                <w:rFonts w:eastAsia="Batang" w:cstheme="minorHAnsi"/>
                <w:sz w:val="18"/>
                <w:szCs w:val="18"/>
              </w:rPr>
              <w:t>i</w:t>
            </w:r>
            <w:proofErr w:type="spellEnd"/>
            <w:r w:rsidRPr="00AC0422">
              <w:rPr>
                <w:rFonts w:eastAsia="Batang" w:cstheme="minorHAnsi"/>
                <w:sz w:val="18"/>
                <w:szCs w:val="18"/>
              </w:rPr>
              <w:t>)</w:t>
            </w:r>
            <w:r w:rsidRPr="00AC0422">
              <w:rPr>
                <w:rFonts w:cstheme="minorHAnsi"/>
                <w:sz w:val="18"/>
                <w:szCs w:val="18"/>
              </w:rPr>
              <w:t xml:space="preserve"> </w:t>
            </w:r>
            <w:r w:rsidRPr="00AC0422">
              <w:rPr>
                <w:rFonts w:eastAsia="Batang" w:cstheme="minorHAnsi"/>
                <w:sz w:val="18"/>
                <w:szCs w:val="18"/>
              </w:rPr>
              <w:t>include assessments of climate risks such as increased frequency of coastal storms;</w:t>
            </w:r>
          </w:p>
          <w:p w14:paraId="7D368345"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 Align NAFSIP’s infrastructure investments with NAP objectives by incorporating climate resilience measures such as flood defenses and elevated port structures;</w:t>
            </w:r>
          </w:p>
          <w:p w14:paraId="2F56F2EA"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iii)</w:t>
            </w:r>
            <w:r w:rsidRPr="00AC0422">
              <w:rPr>
                <w:rFonts w:cstheme="minorHAnsi"/>
                <w:sz w:val="18"/>
                <w:szCs w:val="18"/>
              </w:rPr>
              <w:t xml:space="preserve"> </w:t>
            </w:r>
            <w:r w:rsidRPr="00AC0422">
              <w:rPr>
                <w:rFonts w:eastAsia="Batang" w:cstheme="minorHAnsi"/>
                <w:sz w:val="18"/>
                <w:szCs w:val="18"/>
              </w:rPr>
              <w:t>Promote practices such as sustainable aquaculture and early warning systems for coastal communities to address climate impacts;</w:t>
            </w:r>
          </w:p>
          <w:p w14:paraId="35B1D6CC"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lastRenderedPageBreak/>
              <w:t>iv) Mandate the collection of climate-specific data on coastal and marine environments, linked to the NAP Portal for data sharing and decision-making;</w:t>
            </w:r>
          </w:p>
          <w:p w14:paraId="028A1725"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v) Introduce ICZM principles into NAFSIP to address the interconnected impacts of climate change on fisheries, agriculture, and coastal ecosystems;</w:t>
            </w:r>
          </w:p>
          <w:p w14:paraId="06A6A16A"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vi) Access  funding through the climate finance strategy to be developed by the NAP project to support climate adaptation measures, such as community-based resilience programs and coastal protection infrastructure;</w:t>
            </w:r>
          </w:p>
          <w:p w14:paraId="418B111D" w14:textId="77777777" w:rsidR="0055662A" w:rsidRPr="00AC0422" w:rsidRDefault="0055662A" w:rsidP="00391BF1">
            <w:pPr>
              <w:spacing w:after="120"/>
              <w:ind w:right="-29"/>
              <w:cnfStyle w:val="000000100000" w:firstRow="0" w:lastRow="0" w:firstColumn="0" w:lastColumn="0" w:oddVBand="0" w:evenVBand="0" w:oddHBand="1" w:evenHBand="0" w:firstRowFirstColumn="0" w:firstRowLastColumn="0" w:lastRowFirstColumn="0" w:lastRowLastColumn="0"/>
              <w:rPr>
                <w:rFonts w:eastAsia="Batang" w:cstheme="minorHAnsi"/>
                <w:sz w:val="18"/>
                <w:szCs w:val="18"/>
              </w:rPr>
            </w:pPr>
            <w:r w:rsidRPr="00AC0422">
              <w:rPr>
                <w:rFonts w:eastAsia="Batang" w:cstheme="minorHAnsi"/>
                <w:sz w:val="18"/>
                <w:szCs w:val="18"/>
              </w:rPr>
              <w:t>vii) Expand training programs to include climate adaptation for fishers, coastal planners, and local authorities.</w:t>
            </w:r>
          </w:p>
        </w:tc>
      </w:tr>
    </w:tbl>
    <w:p w14:paraId="1D04022E" w14:textId="77777777" w:rsidR="00D04A5D" w:rsidRPr="00AC0422" w:rsidRDefault="00D04A5D">
      <w:pPr>
        <w:spacing w:after="0"/>
        <w:jc w:val="left"/>
        <w:rPr>
          <w:rFonts w:asciiTheme="minorHAnsi" w:hAnsiTheme="minorHAnsi" w:cstheme="minorHAnsi"/>
          <w:szCs w:val="20"/>
          <w:lang w:val="en-GB"/>
        </w:rPr>
      </w:pPr>
    </w:p>
    <w:p w14:paraId="41F99359" w14:textId="77777777" w:rsidR="00D04A5D" w:rsidRPr="00AC0422" w:rsidRDefault="00D04A5D">
      <w:pPr>
        <w:spacing w:after="0"/>
        <w:jc w:val="left"/>
        <w:rPr>
          <w:rFonts w:asciiTheme="minorHAnsi" w:hAnsiTheme="minorHAnsi" w:cstheme="minorHAnsi"/>
          <w:szCs w:val="20"/>
          <w:lang w:val="en-GB"/>
        </w:rPr>
      </w:pPr>
    </w:p>
    <w:p w14:paraId="142F0DC5" w14:textId="77777777" w:rsidR="00D04A5D" w:rsidRPr="00AC0422" w:rsidRDefault="00D04A5D">
      <w:pPr>
        <w:spacing w:after="0"/>
        <w:jc w:val="left"/>
        <w:rPr>
          <w:rFonts w:asciiTheme="minorHAnsi" w:hAnsiTheme="minorHAnsi" w:cstheme="minorHAnsi"/>
          <w:szCs w:val="20"/>
          <w:lang w:val="en-GB"/>
        </w:rPr>
      </w:pPr>
    </w:p>
    <w:p w14:paraId="17DD1088" w14:textId="77777777" w:rsidR="00D04A5D" w:rsidRPr="00AC0422" w:rsidRDefault="00D04A5D">
      <w:pPr>
        <w:spacing w:after="0"/>
        <w:jc w:val="left"/>
        <w:rPr>
          <w:rFonts w:asciiTheme="minorHAnsi" w:hAnsiTheme="minorHAnsi" w:cstheme="minorHAnsi"/>
          <w:szCs w:val="20"/>
          <w:lang w:val="en-GB"/>
        </w:rPr>
      </w:pPr>
    </w:p>
    <w:p w14:paraId="7A7CA4CC" w14:textId="77777777" w:rsidR="00D04A5D" w:rsidRPr="00AC0422" w:rsidRDefault="00D04A5D">
      <w:pPr>
        <w:spacing w:after="0"/>
        <w:jc w:val="left"/>
        <w:rPr>
          <w:rFonts w:asciiTheme="minorHAnsi" w:hAnsiTheme="minorHAnsi" w:cstheme="minorHAnsi"/>
          <w:szCs w:val="20"/>
          <w:lang w:val="en-GB"/>
        </w:rPr>
        <w:sectPr w:rsidR="00D04A5D" w:rsidRPr="00AC0422" w:rsidSect="00D04A5D">
          <w:headerReference w:type="default" r:id="rId31"/>
          <w:footerReference w:type="default" r:id="rId32"/>
          <w:footerReference w:type="first" r:id="rId33"/>
          <w:pgSz w:w="15840" w:h="12240" w:orient="landscape" w:code="1"/>
          <w:pgMar w:top="1440" w:right="1440" w:bottom="1440" w:left="1440" w:header="720" w:footer="432" w:gutter="0"/>
          <w:cols w:space="708"/>
          <w:titlePg/>
          <w:docGrid w:linePitch="360"/>
        </w:sectPr>
      </w:pPr>
    </w:p>
    <w:p w14:paraId="44048318" w14:textId="77777777" w:rsidR="009526AD" w:rsidRPr="00AC0422" w:rsidRDefault="009526AD">
      <w:pPr>
        <w:spacing w:after="0"/>
        <w:jc w:val="left"/>
        <w:rPr>
          <w:rFonts w:asciiTheme="minorHAnsi" w:hAnsiTheme="minorHAnsi" w:cstheme="minorHAnsi"/>
          <w:szCs w:val="20"/>
          <w:lang w:val="en-GB"/>
        </w:rPr>
      </w:pPr>
    </w:p>
    <w:p w14:paraId="625CE5B3" w14:textId="77777777" w:rsidR="00443BAA" w:rsidRPr="00AC0422" w:rsidRDefault="00443BAA" w:rsidP="00327D3D">
      <w:pPr>
        <w:spacing w:after="0"/>
        <w:rPr>
          <w:rFonts w:asciiTheme="minorHAnsi" w:hAnsiTheme="minorHAnsi" w:cstheme="minorHAnsi"/>
          <w:i/>
          <w:szCs w:val="20"/>
          <w:highlight w:val="yellow"/>
        </w:rPr>
      </w:pPr>
    </w:p>
    <w:p w14:paraId="20E4EBF5" w14:textId="002EA7CB" w:rsidR="00D218B7" w:rsidRPr="00AC0422" w:rsidRDefault="004C3717" w:rsidP="00D218B7">
      <w:pPr>
        <w:pStyle w:val="Heading1"/>
        <w:spacing w:before="0" w:after="0"/>
        <w:jc w:val="left"/>
        <w:rPr>
          <w:rFonts w:asciiTheme="minorHAnsi" w:hAnsiTheme="minorHAnsi" w:cstheme="minorHAnsi"/>
          <w:szCs w:val="28"/>
        </w:rPr>
      </w:pPr>
      <w:bookmarkStart w:id="11" w:name="_Toc40273936"/>
      <w:bookmarkStart w:id="12" w:name="_Toc207800911"/>
      <w:r w:rsidRPr="00AC0422">
        <w:rPr>
          <w:rFonts w:asciiTheme="minorHAnsi" w:hAnsiTheme="minorHAnsi" w:cstheme="minorHAnsi"/>
          <w:szCs w:val="28"/>
        </w:rPr>
        <w:t>Strategy</w:t>
      </w:r>
      <w:bookmarkEnd w:id="11"/>
      <w:r w:rsidR="00A25CCB" w:rsidRPr="00AC0422">
        <w:rPr>
          <w:rFonts w:asciiTheme="minorHAnsi" w:hAnsiTheme="minorHAnsi" w:cstheme="minorHAnsi"/>
          <w:szCs w:val="28"/>
        </w:rPr>
        <w:t xml:space="preserve"> </w:t>
      </w:r>
      <w:bookmarkEnd w:id="12"/>
    </w:p>
    <w:p w14:paraId="780ABA1B" w14:textId="77777777" w:rsidR="00A161E5" w:rsidRPr="00AC0422" w:rsidRDefault="00A161E5" w:rsidP="00A13CA9">
      <w:pPr>
        <w:spacing w:after="0"/>
        <w:jc w:val="left"/>
        <w:rPr>
          <w:rFonts w:asciiTheme="minorHAnsi" w:hAnsiTheme="minorHAnsi" w:cstheme="minorHAnsi"/>
          <w:b/>
          <w:i/>
          <w:szCs w:val="20"/>
          <w:highlight w:val="red"/>
        </w:rPr>
      </w:pPr>
    </w:p>
    <w:p w14:paraId="3BF884A0" w14:textId="77777777" w:rsidR="00F17F04" w:rsidRPr="00AC0422" w:rsidRDefault="00F17F04" w:rsidP="00F17F04">
      <w:pPr>
        <w:spacing w:after="120"/>
        <w:rPr>
          <w:rStyle w:val="DefaultText"/>
          <w:rFonts w:asciiTheme="minorHAnsi" w:hAnsiTheme="minorHAnsi" w:cstheme="minorHAnsi"/>
          <w:b/>
        </w:rPr>
      </w:pPr>
      <w:r w:rsidRPr="00AC0422">
        <w:rPr>
          <w:rFonts w:asciiTheme="minorHAnsi" w:hAnsiTheme="minorHAnsi" w:cstheme="minorHAnsi"/>
          <w:szCs w:val="20"/>
        </w:rPr>
        <w:t xml:space="preserve">The project </w:t>
      </w:r>
      <w:r w:rsidRPr="00AC0422">
        <w:rPr>
          <w:rFonts w:asciiTheme="minorHAnsi" w:hAnsiTheme="minorHAnsi" w:cstheme="minorHAnsi"/>
          <w:b/>
          <w:szCs w:val="20"/>
        </w:rPr>
        <w:t>goal</w:t>
      </w:r>
      <w:r w:rsidRPr="00AC0422">
        <w:rPr>
          <w:rFonts w:asciiTheme="minorHAnsi" w:hAnsiTheme="minorHAnsi" w:cstheme="minorHAnsi"/>
          <w:szCs w:val="20"/>
        </w:rPr>
        <w:t xml:space="preserve"> is to make Yemen more resilient to the impacts of climate change through robust conflict-sensitive national and sub-national adaptation planning, improved institutional capacity, and the implementation of gender-responsive, inclusive, and climate-resilient development policies.</w:t>
      </w:r>
    </w:p>
    <w:p w14:paraId="4804B276" w14:textId="77777777" w:rsidR="00F17F04" w:rsidRPr="00AC0422" w:rsidRDefault="00F17F04" w:rsidP="00F17F04">
      <w:pPr>
        <w:spacing w:after="120"/>
        <w:rPr>
          <w:rFonts w:asciiTheme="minorHAnsi" w:hAnsiTheme="minorHAnsi" w:cstheme="minorHAnsi"/>
          <w:b/>
          <w:bCs/>
          <w:szCs w:val="20"/>
          <w:lang w:val="en-GB"/>
        </w:rPr>
      </w:pPr>
      <w:r w:rsidRPr="00AC0422">
        <w:rPr>
          <w:rStyle w:val="DefaultText"/>
          <w:rFonts w:asciiTheme="minorHAnsi" w:hAnsiTheme="minorHAnsi" w:cstheme="minorHAnsi"/>
          <w:b/>
        </w:rPr>
        <w:t xml:space="preserve">Goal Statement: </w:t>
      </w:r>
    </w:p>
    <w:p w14:paraId="773F2584" w14:textId="77777777" w:rsidR="00F17F04" w:rsidRPr="00AC0422" w:rsidRDefault="00F17F04" w:rsidP="00F17F04">
      <w:pPr>
        <w:spacing w:after="120"/>
        <w:rPr>
          <w:rFonts w:asciiTheme="minorHAnsi" w:hAnsiTheme="minorHAnsi" w:cstheme="minorHAnsi"/>
          <w:szCs w:val="20"/>
          <w:lang w:val="en-GB"/>
        </w:rPr>
      </w:pPr>
      <w:r w:rsidRPr="00AC0422">
        <w:rPr>
          <w:rFonts w:asciiTheme="minorHAnsi" w:hAnsiTheme="minorHAnsi" w:cstheme="minorHAnsi"/>
          <w:b/>
          <w:bCs/>
          <w:szCs w:val="20"/>
          <w:lang w:val="en-GB"/>
        </w:rPr>
        <w:t>IF</w:t>
      </w:r>
      <w:r w:rsidRPr="00AC0422">
        <w:rPr>
          <w:rFonts w:asciiTheme="minorHAnsi" w:hAnsiTheme="minorHAnsi" w:cstheme="minorHAnsi"/>
          <w:szCs w:val="20"/>
          <w:lang w:val="en-GB"/>
        </w:rPr>
        <w:t xml:space="preserve"> Yemen establishes a National Adaptation Process and strengthens its technical, financial, and institutional capacities to integrate climate change adaptation into national and sectoral plans and budgets while adopting conflict-sensitive tools and analysis,</w:t>
      </w:r>
    </w:p>
    <w:p w14:paraId="4C8F3230" w14:textId="77777777" w:rsidR="00F17F04" w:rsidRPr="00AC0422" w:rsidRDefault="00F17F04" w:rsidP="00F17F04">
      <w:pPr>
        <w:spacing w:after="120"/>
        <w:rPr>
          <w:rFonts w:asciiTheme="minorHAnsi" w:hAnsiTheme="minorHAnsi" w:cstheme="minorHAnsi"/>
          <w:szCs w:val="20"/>
          <w:lang w:val="en-GB"/>
        </w:rPr>
      </w:pPr>
      <w:r w:rsidRPr="00AC0422">
        <w:rPr>
          <w:rFonts w:asciiTheme="minorHAnsi" w:hAnsiTheme="minorHAnsi" w:cstheme="minorHAnsi"/>
          <w:b/>
          <w:bCs/>
          <w:szCs w:val="20"/>
          <w:lang w:val="en-GB"/>
        </w:rPr>
        <w:t>THEN</w:t>
      </w:r>
      <w:r w:rsidRPr="00AC0422">
        <w:rPr>
          <w:rFonts w:asciiTheme="minorHAnsi" w:hAnsiTheme="minorHAnsi" w:cstheme="minorHAnsi"/>
          <w:szCs w:val="20"/>
          <w:lang w:val="en-GB"/>
        </w:rPr>
        <w:t xml:space="preserve"> key government sectors will have the ability to design, operationalize, finance, and monitor adaptation actions effectively, ensuring that climate adaptation measures are institutionalized, sustainable, and responsive to Yemen’s socio-political and environmental context,</w:t>
      </w:r>
    </w:p>
    <w:p w14:paraId="2C85313B" w14:textId="77777777" w:rsidR="00F17F04" w:rsidRPr="00AC0422" w:rsidRDefault="00F17F04" w:rsidP="00F17F04">
      <w:pPr>
        <w:spacing w:after="120"/>
        <w:rPr>
          <w:rStyle w:val="DefaultText"/>
          <w:rFonts w:asciiTheme="minorHAnsi" w:hAnsiTheme="minorHAnsi" w:cstheme="minorHAnsi"/>
          <w:lang w:val="en-GB"/>
        </w:rPr>
      </w:pPr>
      <w:r w:rsidRPr="00AC0422">
        <w:rPr>
          <w:rFonts w:asciiTheme="minorHAnsi" w:hAnsiTheme="minorHAnsi" w:cstheme="minorHAnsi"/>
          <w:b/>
          <w:bCs/>
          <w:szCs w:val="20"/>
          <w:lang w:val="en-GB"/>
        </w:rPr>
        <w:t>BECAUSE</w:t>
      </w:r>
      <w:r w:rsidRPr="00AC0422">
        <w:rPr>
          <w:rFonts w:asciiTheme="minorHAnsi" w:hAnsiTheme="minorHAnsi" w:cstheme="minorHAnsi"/>
          <w:szCs w:val="20"/>
          <w:lang w:val="en-GB"/>
        </w:rPr>
        <w:t xml:space="preserve"> authorities and stakeholders will have the necessary systems, technical expertise, inter-ministerial coordination, and financing mechanisms to systematically design, finance, implement, monitor, and evaluate strategic, climate risk-informed, gender-responsive adaptation actions that enhance the physical and socio-economic resilience of vulnerable communities to climate change impacts.</w:t>
      </w:r>
    </w:p>
    <w:p w14:paraId="0CBE7D74" w14:textId="77777777" w:rsidR="00F17F04" w:rsidRPr="00AC0422" w:rsidRDefault="00F17F04" w:rsidP="00F17F04">
      <w:pPr>
        <w:keepNext/>
        <w:spacing w:after="120"/>
        <w:rPr>
          <w:rFonts w:asciiTheme="minorHAnsi" w:hAnsiTheme="minorHAnsi" w:cstheme="minorHAnsi"/>
          <w:szCs w:val="20"/>
          <w:lang w:eastAsia="ja-JP"/>
        </w:rPr>
      </w:pPr>
      <w:r w:rsidRPr="00AC0422">
        <w:rPr>
          <w:rFonts w:asciiTheme="minorHAnsi" w:hAnsiTheme="minorHAnsi" w:cstheme="minorHAnsi"/>
          <w:szCs w:val="20"/>
          <w:lang w:eastAsia="ja-JP"/>
        </w:rPr>
        <w:t>As outlined in the goal statement, the project will support climate change adaptation planning in Yemen by developing the technical, financial, and institutional capacities for key government sectors to integrate climate change adaptation into their sectoral plans and budgets at all levels. These elements of the paradigm shifts are further described below.</w:t>
      </w:r>
    </w:p>
    <w:p w14:paraId="39E6552E" w14:textId="02DF7687" w:rsidR="004A4063" w:rsidRPr="00AC0422" w:rsidRDefault="00F17F04" w:rsidP="00F17F04">
      <w:pPr>
        <w:spacing w:after="0"/>
        <w:rPr>
          <w:rFonts w:asciiTheme="minorHAnsi" w:hAnsiTheme="minorHAnsi" w:cstheme="minorHAnsi"/>
          <w:szCs w:val="20"/>
          <w:lang w:eastAsia="en-GB"/>
        </w:rPr>
      </w:pPr>
      <w:r w:rsidRPr="00AC0422">
        <w:rPr>
          <w:rFonts w:asciiTheme="minorHAnsi" w:hAnsiTheme="minorHAnsi" w:cstheme="minorHAnsi"/>
          <w:iCs/>
          <w:szCs w:val="20"/>
          <w:lang w:eastAsia="ja-JP"/>
        </w:rPr>
        <w:t>The project will enable key climate-vulnerable sectors to systematically design, operationalize, finance, and monitor climate risk-informed, strategic, and operational climate change adaptation actions, ultimately leading</w:t>
      </w:r>
    </w:p>
    <w:p w14:paraId="34A112D9" w14:textId="77777777" w:rsidR="000F3BCB" w:rsidRPr="00AC0422" w:rsidRDefault="000F3BCB" w:rsidP="00327B19">
      <w:pPr>
        <w:spacing w:after="0"/>
        <w:rPr>
          <w:rFonts w:asciiTheme="minorHAnsi" w:hAnsiTheme="minorHAnsi" w:cstheme="minorHAnsi"/>
          <w:szCs w:val="20"/>
          <w:lang w:eastAsia="en-GB"/>
        </w:rPr>
      </w:pPr>
    </w:p>
    <w:p w14:paraId="2933CD9C" w14:textId="38162D72" w:rsidR="00CD2E8A" w:rsidRPr="00AC0422" w:rsidRDefault="00CD2E8A" w:rsidP="00327B19">
      <w:pPr>
        <w:spacing w:after="0"/>
        <w:rPr>
          <w:rFonts w:asciiTheme="minorHAnsi" w:hAnsiTheme="minorHAnsi" w:cstheme="minorHAnsi"/>
          <w:szCs w:val="20"/>
          <w:lang w:eastAsia="en-GB"/>
        </w:rPr>
      </w:pPr>
      <w:r w:rsidRPr="00AC0422">
        <w:rPr>
          <w:rFonts w:asciiTheme="minorHAnsi" w:hAnsiTheme="minorHAnsi" w:cstheme="minorHAnsi"/>
          <w:szCs w:val="20"/>
          <w:lang w:eastAsia="en-GB"/>
        </w:rPr>
        <w:t>The project seeks to address the following barriers:</w:t>
      </w:r>
    </w:p>
    <w:p w14:paraId="6046CBFA" w14:textId="77777777" w:rsidR="00CD2E8A" w:rsidRPr="00AC0422" w:rsidRDefault="00CD2E8A" w:rsidP="00327B19">
      <w:pPr>
        <w:spacing w:after="0"/>
        <w:rPr>
          <w:rFonts w:asciiTheme="minorHAnsi" w:hAnsiTheme="minorHAnsi" w:cstheme="minorHAnsi"/>
          <w:szCs w:val="20"/>
          <w:lang w:eastAsia="en-GB"/>
        </w:rPr>
      </w:pPr>
    </w:p>
    <w:tbl>
      <w:tblPr>
        <w:tblStyle w:val="TableGrid"/>
        <w:tblW w:w="9351" w:type="dxa"/>
        <w:tblLook w:val="04A0" w:firstRow="1" w:lastRow="0" w:firstColumn="1" w:lastColumn="0" w:noHBand="0" w:noVBand="1"/>
      </w:tblPr>
      <w:tblGrid>
        <w:gridCol w:w="4509"/>
        <w:gridCol w:w="4842"/>
      </w:tblGrid>
      <w:tr w:rsidR="0082062A" w:rsidRPr="00AC0422" w14:paraId="271E7167" w14:textId="77777777" w:rsidTr="00AC0422">
        <w:tc>
          <w:tcPr>
            <w:tcW w:w="4509" w:type="dxa"/>
          </w:tcPr>
          <w:p w14:paraId="69246F9D" w14:textId="77777777" w:rsidR="0082062A" w:rsidRPr="00AC0422" w:rsidRDefault="0082062A" w:rsidP="00391BF1">
            <w:pPr>
              <w:spacing w:before="120" w:after="120"/>
              <w:ind w:right="-29"/>
              <w:rPr>
                <w:rStyle w:val="DefaultText"/>
                <w:rFonts w:asciiTheme="minorHAnsi" w:hAnsiTheme="minorHAnsi" w:cstheme="minorHAnsi"/>
                <w:b/>
                <w:bCs/>
                <w:color w:val="000000" w:themeColor="text1"/>
                <w:szCs w:val="18"/>
                <w:lang w:val="en-GB"/>
              </w:rPr>
            </w:pPr>
            <w:r w:rsidRPr="00AC0422">
              <w:rPr>
                <w:rStyle w:val="DefaultText"/>
                <w:rFonts w:asciiTheme="minorHAnsi" w:hAnsiTheme="minorHAnsi" w:cstheme="minorHAnsi"/>
                <w:b/>
                <w:bCs/>
                <w:color w:val="000000" w:themeColor="text1"/>
                <w:szCs w:val="18"/>
                <w:lang w:val="en-GB"/>
              </w:rPr>
              <w:t>Barrier</w:t>
            </w:r>
          </w:p>
        </w:tc>
        <w:tc>
          <w:tcPr>
            <w:tcW w:w="4842" w:type="dxa"/>
          </w:tcPr>
          <w:p w14:paraId="35DAD4B2" w14:textId="77777777" w:rsidR="0082062A" w:rsidRPr="00AC0422" w:rsidRDefault="0082062A" w:rsidP="00391BF1">
            <w:pPr>
              <w:spacing w:before="120" w:after="120"/>
              <w:ind w:right="-29"/>
              <w:rPr>
                <w:rStyle w:val="DefaultText"/>
                <w:rFonts w:asciiTheme="minorHAnsi" w:hAnsiTheme="minorHAnsi" w:cstheme="minorHAnsi"/>
                <w:b/>
                <w:bCs/>
                <w:color w:val="000000" w:themeColor="text1"/>
                <w:szCs w:val="18"/>
                <w:lang w:val="en-GB"/>
              </w:rPr>
            </w:pPr>
            <w:r w:rsidRPr="00AC0422">
              <w:rPr>
                <w:rStyle w:val="DefaultText"/>
                <w:rFonts w:asciiTheme="minorHAnsi" w:hAnsiTheme="minorHAnsi" w:cstheme="minorHAnsi"/>
                <w:b/>
                <w:bCs/>
                <w:color w:val="000000" w:themeColor="text1"/>
                <w:szCs w:val="18"/>
                <w:lang w:val="en-GB"/>
              </w:rPr>
              <w:t>Primary output to address and overcome barriers</w:t>
            </w:r>
          </w:p>
        </w:tc>
      </w:tr>
      <w:tr w:rsidR="0082062A" w:rsidRPr="00AC0422" w14:paraId="7F34EB19" w14:textId="77777777" w:rsidTr="00AC0422">
        <w:tc>
          <w:tcPr>
            <w:tcW w:w="4509" w:type="dxa"/>
          </w:tcPr>
          <w:p w14:paraId="55F153DC" w14:textId="77777777" w:rsidR="0082062A" w:rsidRPr="00AC0422" w:rsidRDefault="0082062A" w:rsidP="00391BF1">
            <w:pPr>
              <w:pStyle w:val="BodyText"/>
              <w:widowControl w:val="0"/>
              <w:autoSpaceDE w:val="0"/>
              <w:autoSpaceDN w:val="0"/>
              <w:spacing w:after="0"/>
              <w:rPr>
                <w:rFonts w:asciiTheme="minorHAnsi" w:hAnsiTheme="minorHAnsi" w:cstheme="minorHAnsi"/>
                <w:sz w:val="18"/>
                <w:szCs w:val="18"/>
                <w:lang w:val="en-GB"/>
              </w:rPr>
            </w:pPr>
            <w:r w:rsidRPr="00AC0422">
              <w:rPr>
                <w:rFonts w:asciiTheme="minorHAnsi" w:hAnsiTheme="minorHAnsi" w:cstheme="minorHAnsi"/>
                <w:b/>
                <w:bCs/>
                <w:sz w:val="18"/>
                <w:szCs w:val="18"/>
                <w:lang w:val="en-GB"/>
              </w:rPr>
              <w:t xml:space="preserve">Barrier 1: </w:t>
            </w:r>
            <w:r w:rsidRPr="00AC0422">
              <w:rPr>
                <w:rFonts w:asciiTheme="minorHAnsi" w:hAnsiTheme="minorHAnsi" w:cstheme="minorHAnsi"/>
                <w:sz w:val="18"/>
                <w:szCs w:val="18"/>
                <w:lang w:val="en-GB"/>
              </w:rPr>
              <w:t>Limited systematic inter-ministerial coordination for adaptation planning</w:t>
            </w:r>
          </w:p>
          <w:p w14:paraId="262AF7CA" w14:textId="77777777" w:rsidR="0082062A" w:rsidRPr="00AC0422" w:rsidRDefault="0082062A" w:rsidP="00391BF1">
            <w:pPr>
              <w:pStyle w:val="BodyText"/>
              <w:widowControl w:val="0"/>
              <w:autoSpaceDE w:val="0"/>
              <w:autoSpaceDN w:val="0"/>
              <w:spacing w:after="0"/>
              <w:rPr>
                <w:rStyle w:val="DefaultText"/>
                <w:rFonts w:asciiTheme="minorHAnsi" w:hAnsiTheme="minorHAnsi" w:cstheme="minorHAnsi"/>
                <w:szCs w:val="18"/>
                <w:lang w:val="en-GB"/>
              </w:rPr>
            </w:pPr>
          </w:p>
        </w:tc>
        <w:tc>
          <w:tcPr>
            <w:tcW w:w="4842" w:type="dxa"/>
          </w:tcPr>
          <w:p w14:paraId="5970C431" w14:textId="77777777" w:rsidR="0082062A" w:rsidRPr="00AC0422" w:rsidRDefault="0082062A" w:rsidP="00391BF1">
            <w:pPr>
              <w:spacing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Output 3.1.1.  National, sub-national and/or sectoral adaptation plans developed or updated</w:t>
            </w:r>
          </w:p>
          <w:p w14:paraId="56237466" w14:textId="77777777" w:rsidR="0082062A" w:rsidRPr="00AC0422" w:rsidRDefault="0082062A" w:rsidP="00391BF1">
            <w:pPr>
              <w:spacing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Output 3.1.3. Inter and Intra-institutional coordination &amp; decision-making mechanisms established or strengthened</w:t>
            </w:r>
          </w:p>
          <w:p w14:paraId="29355CC6" w14:textId="77777777" w:rsidR="0082062A" w:rsidRPr="00AC0422" w:rsidRDefault="0082062A" w:rsidP="00391BF1">
            <w:pPr>
              <w:spacing w:after="120"/>
              <w:ind w:right="-29"/>
              <w:rPr>
                <w:rFonts w:asciiTheme="minorHAnsi" w:hAnsiTheme="minorHAnsi" w:cstheme="minorHAnsi"/>
              </w:rPr>
            </w:pPr>
            <w:r w:rsidRPr="00AC0422">
              <w:rPr>
                <w:rFonts w:asciiTheme="minorHAnsi" w:hAnsiTheme="minorHAnsi" w:cstheme="minorHAnsi"/>
                <w:iCs/>
                <w:sz w:val="18"/>
                <w:szCs w:val="18"/>
                <w:lang w:eastAsia="ja-JP"/>
              </w:rPr>
              <w:t>Output 3.1.4. Stakeholder engagement frameworks, agreements and awareness raising conducted or strengthened.</w:t>
            </w:r>
          </w:p>
        </w:tc>
      </w:tr>
      <w:tr w:rsidR="0082062A" w:rsidRPr="00AC0422" w14:paraId="0AF1DA47" w14:textId="77777777" w:rsidTr="00AC0422">
        <w:trPr>
          <w:trHeight w:val="1167"/>
        </w:trPr>
        <w:tc>
          <w:tcPr>
            <w:tcW w:w="4509" w:type="dxa"/>
          </w:tcPr>
          <w:p w14:paraId="2C2C0FC0" w14:textId="77777777" w:rsidR="0082062A" w:rsidRPr="00AC0422" w:rsidRDefault="0082062A" w:rsidP="00391BF1">
            <w:pPr>
              <w:pStyle w:val="BodyText"/>
              <w:widowControl w:val="0"/>
              <w:autoSpaceDE w:val="0"/>
              <w:autoSpaceDN w:val="0"/>
              <w:rPr>
                <w:rStyle w:val="DefaultText"/>
                <w:rFonts w:asciiTheme="minorHAnsi" w:hAnsiTheme="minorHAnsi" w:cstheme="minorHAnsi"/>
                <w:szCs w:val="18"/>
              </w:rPr>
            </w:pPr>
            <w:r w:rsidRPr="00AC0422">
              <w:rPr>
                <w:rFonts w:asciiTheme="minorHAnsi" w:hAnsiTheme="minorHAnsi" w:cstheme="minorHAnsi"/>
                <w:b/>
                <w:bCs/>
                <w:sz w:val="18"/>
                <w:szCs w:val="18"/>
              </w:rPr>
              <w:t xml:space="preserve">Barrier 2: </w:t>
            </w:r>
            <w:r w:rsidRPr="00AC0422">
              <w:rPr>
                <w:rFonts w:asciiTheme="minorHAnsi" w:hAnsiTheme="minorHAnsi" w:cstheme="minorHAnsi"/>
                <w:sz w:val="18"/>
                <w:szCs w:val="18"/>
              </w:rPr>
              <w:t>Limited access to climate risk and vulnerability data and technical capacity to integrate CRV data and information, into identification and appraisal of CCA interventions</w:t>
            </w:r>
          </w:p>
        </w:tc>
        <w:tc>
          <w:tcPr>
            <w:tcW w:w="4842" w:type="dxa"/>
          </w:tcPr>
          <w:p w14:paraId="3165015B" w14:textId="77777777" w:rsidR="0082062A" w:rsidRPr="00AC0422" w:rsidRDefault="0082062A" w:rsidP="00391BF1">
            <w:pPr>
              <w:spacing w:before="120"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Output 3.2.2. Studies on climate vulnerability, &amp; identification of adaptation solutions conducted (&amp; used) for strengthening adaptation investment</w:t>
            </w:r>
          </w:p>
        </w:tc>
      </w:tr>
      <w:tr w:rsidR="0082062A" w:rsidRPr="00AC0422" w14:paraId="059AE578" w14:textId="77777777" w:rsidTr="00AC0422">
        <w:tc>
          <w:tcPr>
            <w:tcW w:w="4509" w:type="dxa"/>
          </w:tcPr>
          <w:p w14:paraId="7B4F7D94" w14:textId="77777777" w:rsidR="0082062A" w:rsidRPr="00AC0422" w:rsidRDefault="0082062A" w:rsidP="00391BF1">
            <w:pPr>
              <w:pStyle w:val="BodyText"/>
              <w:rPr>
                <w:rFonts w:asciiTheme="minorHAnsi" w:hAnsiTheme="minorHAnsi" w:cstheme="minorHAnsi"/>
                <w:sz w:val="18"/>
                <w:szCs w:val="18"/>
                <w:lang w:val="en-GB"/>
              </w:rPr>
            </w:pPr>
            <w:r w:rsidRPr="00AC0422">
              <w:rPr>
                <w:rFonts w:asciiTheme="minorHAnsi" w:hAnsiTheme="minorHAnsi" w:cstheme="minorHAnsi"/>
                <w:b/>
                <w:bCs/>
                <w:sz w:val="18"/>
                <w:szCs w:val="18"/>
                <w:lang w:val="en-GB"/>
              </w:rPr>
              <w:t xml:space="preserve">Barrier 3: </w:t>
            </w:r>
            <w:r w:rsidRPr="00AC0422">
              <w:rPr>
                <w:rFonts w:asciiTheme="minorHAnsi" w:hAnsiTheme="minorHAnsi" w:cstheme="minorHAnsi"/>
                <w:sz w:val="18"/>
                <w:szCs w:val="18"/>
              </w:rPr>
              <w:t>Lack of conflict analysis and an approach to address CCA challenges in crisis contexts</w:t>
            </w:r>
          </w:p>
          <w:p w14:paraId="339181EA" w14:textId="77777777" w:rsidR="0082062A" w:rsidRPr="00AC0422" w:rsidRDefault="0082062A" w:rsidP="00391BF1">
            <w:pPr>
              <w:pStyle w:val="BodyText"/>
              <w:widowControl w:val="0"/>
              <w:autoSpaceDE w:val="0"/>
              <w:autoSpaceDN w:val="0"/>
              <w:rPr>
                <w:rFonts w:asciiTheme="minorHAnsi" w:hAnsiTheme="minorHAnsi" w:cstheme="minorHAnsi"/>
                <w:b/>
                <w:bCs/>
                <w:sz w:val="18"/>
                <w:szCs w:val="18"/>
              </w:rPr>
            </w:pPr>
          </w:p>
        </w:tc>
        <w:tc>
          <w:tcPr>
            <w:tcW w:w="4842" w:type="dxa"/>
          </w:tcPr>
          <w:p w14:paraId="7031BE1B" w14:textId="77777777" w:rsidR="0082062A" w:rsidRPr="00AC0422" w:rsidRDefault="0082062A" w:rsidP="00391BF1">
            <w:pPr>
              <w:spacing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Output 3.1.1.  National, sub-national and/or sectoral adaptation plans developed or updated</w:t>
            </w:r>
          </w:p>
          <w:p w14:paraId="3F56F251" w14:textId="77777777" w:rsidR="0082062A" w:rsidRPr="00AC0422" w:rsidRDefault="0082062A" w:rsidP="00391BF1">
            <w:pPr>
              <w:spacing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Output 3.2.2. Studies on climate vulnerability, &amp; identification of adaptation solutions conducted (&amp; used) for strengthening adaptation investment</w:t>
            </w:r>
          </w:p>
        </w:tc>
      </w:tr>
      <w:tr w:rsidR="0082062A" w:rsidRPr="00AC0422" w14:paraId="5243485B" w14:textId="77777777" w:rsidTr="00AC0422">
        <w:tc>
          <w:tcPr>
            <w:tcW w:w="4509" w:type="dxa"/>
          </w:tcPr>
          <w:p w14:paraId="2261F07B" w14:textId="77777777" w:rsidR="0082062A" w:rsidRPr="00AC0422" w:rsidRDefault="0082062A" w:rsidP="00391BF1">
            <w:pPr>
              <w:rPr>
                <w:rFonts w:asciiTheme="minorHAnsi" w:hAnsiTheme="minorHAnsi" w:cstheme="minorHAnsi"/>
                <w:b/>
                <w:bCs/>
                <w:sz w:val="18"/>
                <w:szCs w:val="18"/>
                <w:lang w:val="en-GB"/>
              </w:rPr>
            </w:pPr>
            <w:r w:rsidRPr="00AC0422">
              <w:rPr>
                <w:rFonts w:asciiTheme="minorHAnsi" w:hAnsiTheme="minorHAnsi" w:cstheme="minorHAnsi"/>
                <w:b/>
                <w:bCs/>
                <w:sz w:val="18"/>
                <w:szCs w:val="18"/>
                <w:lang w:val="en-GB"/>
              </w:rPr>
              <w:lastRenderedPageBreak/>
              <w:t xml:space="preserve">Barrier 4: </w:t>
            </w:r>
            <w:r w:rsidRPr="00AC0422">
              <w:rPr>
                <w:rFonts w:asciiTheme="minorHAnsi" w:hAnsiTheme="minorHAnsi" w:cstheme="minorHAnsi"/>
                <w:sz w:val="18"/>
                <w:szCs w:val="18"/>
                <w:lang w:val="en-GB"/>
              </w:rPr>
              <w:t>Lack of a Monitoring and Evaluation (M&amp;E) System for Climate Adaptation</w:t>
            </w:r>
          </w:p>
          <w:p w14:paraId="225367E4" w14:textId="77777777" w:rsidR="0082062A" w:rsidRPr="00AC0422" w:rsidRDefault="0082062A" w:rsidP="00391BF1">
            <w:pPr>
              <w:rPr>
                <w:rStyle w:val="DefaultText"/>
                <w:rFonts w:asciiTheme="minorHAnsi" w:hAnsiTheme="minorHAnsi" w:cstheme="minorHAnsi"/>
                <w:szCs w:val="18"/>
                <w:lang w:val="en-GB"/>
              </w:rPr>
            </w:pPr>
          </w:p>
        </w:tc>
        <w:tc>
          <w:tcPr>
            <w:tcW w:w="4842" w:type="dxa"/>
          </w:tcPr>
          <w:p w14:paraId="74C55B0F" w14:textId="77777777" w:rsidR="0082062A" w:rsidRPr="00AC0422" w:rsidRDefault="0082062A" w:rsidP="00391BF1">
            <w:pPr>
              <w:spacing w:before="120"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Output 3.2.1. Adaptation impact monitoring, evaluation &amp; learning systems established or strengthened for strategic planning and investment</w:t>
            </w:r>
          </w:p>
        </w:tc>
      </w:tr>
      <w:tr w:rsidR="0082062A" w:rsidRPr="00AC0422" w14:paraId="15034CD7" w14:textId="77777777" w:rsidTr="00AC0422">
        <w:tc>
          <w:tcPr>
            <w:tcW w:w="4509" w:type="dxa"/>
          </w:tcPr>
          <w:p w14:paraId="7A3BB946" w14:textId="77777777" w:rsidR="0082062A" w:rsidRPr="00AC0422" w:rsidRDefault="0082062A" w:rsidP="00391BF1">
            <w:pPr>
              <w:pStyle w:val="BodyText"/>
              <w:widowControl w:val="0"/>
              <w:autoSpaceDE w:val="0"/>
              <w:autoSpaceDN w:val="0"/>
              <w:spacing w:after="0"/>
              <w:rPr>
                <w:rFonts w:asciiTheme="minorHAnsi" w:hAnsiTheme="minorHAnsi" w:cstheme="minorHAnsi"/>
                <w:sz w:val="18"/>
                <w:szCs w:val="18"/>
                <w:lang w:val="en-GB"/>
              </w:rPr>
            </w:pPr>
            <w:r w:rsidRPr="00AC0422">
              <w:rPr>
                <w:rFonts w:asciiTheme="minorHAnsi" w:hAnsiTheme="minorHAnsi" w:cstheme="minorHAnsi"/>
                <w:b/>
                <w:bCs/>
                <w:sz w:val="18"/>
                <w:szCs w:val="18"/>
                <w:lang w:val="en-GB"/>
              </w:rPr>
              <w:t xml:space="preserve">Barrier 5 - </w:t>
            </w:r>
            <w:r w:rsidRPr="00AC0422">
              <w:rPr>
                <w:rFonts w:asciiTheme="minorHAnsi" w:hAnsiTheme="minorHAnsi" w:cstheme="minorHAnsi"/>
                <w:sz w:val="18"/>
                <w:szCs w:val="18"/>
                <w:lang w:val="en-GB"/>
              </w:rPr>
              <w:t xml:space="preserve">Limited availability of adaptation finance and lack of a financing strategy for developing bankable CCA projects </w:t>
            </w:r>
          </w:p>
          <w:p w14:paraId="603FBA0C" w14:textId="77777777" w:rsidR="0082062A" w:rsidRPr="00AC0422" w:rsidRDefault="0082062A" w:rsidP="00391BF1">
            <w:pPr>
              <w:rPr>
                <w:rStyle w:val="DefaultText"/>
                <w:rFonts w:asciiTheme="minorHAnsi" w:hAnsiTheme="minorHAnsi" w:cstheme="minorHAnsi"/>
                <w:szCs w:val="18"/>
                <w:lang w:val="en-GB"/>
              </w:rPr>
            </w:pPr>
          </w:p>
        </w:tc>
        <w:tc>
          <w:tcPr>
            <w:tcW w:w="4842" w:type="dxa"/>
          </w:tcPr>
          <w:p w14:paraId="07D155B9" w14:textId="77777777" w:rsidR="0082062A" w:rsidRPr="00AC0422" w:rsidRDefault="0082062A" w:rsidP="00391BF1">
            <w:pPr>
              <w:spacing w:before="120"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Output 3.4.2 Number of concept notes and/or funding proposals developed for adaptation priority actions</w:t>
            </w:r>
          </w:p>
          <w:p w14:paraId="04D25B40" w14:textId="77777777" w:rsidR="0082062A" w:rsidRPr="00AC0422" w:rsidRDefault="0082062A" w:rsidP="00391BF1">
            <w:pPr>
              <w:spacing w:before="120" w:after="120"/>
              <w:ind w:right="-29"/>
              <w:rPr>
                <w:rFonts w:asciiTheme="minorHAnsi" w:hAnsiTheme="minorHAnsi" w:cstheme="minorHAnsi"/>
                <w:iCs/>
                <w:sz w:val="18"/>
                <w:szCs w:val="18"/>
                <w:lang w:eastAsia="ja-JP"/>
              </w:rPr>
            </w:pPr>
            <w:r w:rsidRPr="00AC0422">
              <w:rPr>
                <w:rFonts w:asciiTheme="minorHAnsi" w:hAnsiTheme="minorHAnsi" w:cstheme="minorHAnsi"/>
                <w:iCs/>
                <w:sz w:val="18"/>
                <w:szCs w:val="18"/>
                <w:lang w:eastAsia="ja-JP"/>
              </w:rPr>
              <w:t>3.4.3 National systems developed for tracking adaptation national and international finance flows</w:t>
            </w:r>
          </w:p>
        </w:tc>
      </w:tr>
    </w:tbl>
    <w:p w14:paraId="618EA9E9" w14:textId="77777777" w:rsidR="00CD2E8A" w:rsidRPr="00AC0422" w:rsidRDefault="00CD2E8A" w:rsidP="00327B19">
      <w:pPr>
        <w:spacing w:after="0"/>
        <w:rPr>
          <w:rFonts w:asciiTheme="minorHAnsi" w:hAnsiTheme="minorHAnsi" w:cstheme="minorHAnsi"/>
          <w:szCs w:val="20"/>
          <w:lang w:eastAsia="en-GB"/>
        </w:rPr>
      </w:pPr>
    </w:p>
    <w:p w14:paraId="15452CA0" w14:textId="77777777" w:rsidR="00CD2E8A" w:rsidRPr="00AC0422" w:rsidRDefault="00CD2E8A" w:rsidP="00327B19">
      <w:pPr>
        <w:spacing w:after="0"/>
        <w:rPr>
          <w:rFonts w:asciiTheme="minorHAnsi" w:hAnsiTheme="minorHAnsi" w:cstheme="minorHAnsi"/>
          <w:szCs w:val="20"/>
          <w:lang w:eastAsia="en-GB"/>
        </w:rPr>
      </w:pPr>
    </w:p>
    <w:p w14:paraId="400196FA" w14:textId="391928F6" w:rsidR="004A4063" w:rsidRPr="00AC0422" w:rsidRDefault="004A4063" w:rsidP="00327B19">
      <w:pPr>
        <w:spacing w:after="0"/>
        <w:rPr>
          <w:rFonts w:asciiTheme="minorHAnsi" w:hAnsiTheme="minorHAnsi" w:cstheme="minorHAnsi"/>
          <w:i/>
          <w:szCs w:val="20"/>
          <w:highlight w:val="yellow"/>
        </w:rPr>
        <w:sectPr w:rsidR="004A4063" w:rsidRPr="00AC0422" w:rsidSect="00950B12">
          <w:pgSz w:w="12240" w:h="15840" w:code="1"/>
          <w:pgMar w:top="1440" w:right="1440" w:bottom="1440" w:left="1440" w:header="720" w:footer="432" w:gutter="0"/>
          <w:cols w:space="708"/>
          <w:titlePg/>
          <w:docGrid w:linePitch="360"/>
        </w:sectPr>
      </w:pPr>
      <w:r w:rsidRPr="00AC0422">
        <w:rPr>
          <w:rFonts w:asciiTheme="minorHAnsi" w:hAnsiTheme="minorHAnsi" w:cstheme="minorHAnsi"/>
          <w:szCs w:val="20"/>
          <w:lang w:eastAsia="en-GB"/>
        </w:rPr>
        <w:t>Theory of Change diagram of the project is:</w:t>
      </w:r>
    </w:p>
    <w:p w14:paraId="45E4AC55" w14:textId="77777777" w:rsidR="00260D06" w:rsidRPr="00AC0422" w:rsidRDefault="00260D06" w:rsidP="00260D06">
      <w:pPr>
        <w:keepNext/>
        <w:spacing w:after="120"/>
        <w:rPr>
          <w:rFonts w:asciiTheme="minorHAnsi" w:hAnsiTheme="minorHAnsi" w:cstheme="minorHAnsi"/>
          <w:noProof/>
          <w:szCs w:val="20"/>
        </w:rPr>
      </w:pPr>
      <w:r w:rsidRPr="00AC0422">
        <w:rPr>
          <w:rFonts w:asciiTheme="minorHAnsi" w:hAnsiTheme="minorHAnsi" w:cstheme="minorHAnsi"/>
          <w:noProof/>
          <w:szCs w:val="20"/>
        </w:rPr>
        <w:lastRenderedPageBreak/>
        <w:drawing>
          <wp:inline distT="0" distB="0" distL="0" distR="0" wp14:anchorId="49DCB062" wp14:editId="63D4779C">
            <wp:extent cx="8179799" cy="4593265"/>
            <wp:effectExtent l="0" t="0" r="0" b="4445"/>
            <wp:docPr id="1849178673"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178673" name="Picture 1" descr="A screenshot of a computer screen&#10;&#10;Description automatically generated"/>
                    <pic:cNvPicPr/>
                  </pic:nvPicPr>
                  <pic:blipFill>
                    <a:blip r:embed="rId34"/>
                    <a:stretch>
                      <a:fillRect/>
                    </a:stretch>
                  </pic:blipFill>
                  <pic:spPr>
                    <a:xfrm>
                      <a:off x="0" y="0"/>
                      <a:ext cx="8257161" cy="4636707"/>
                    </a:xfrm>
                    <a:prstGeom prst="rect">
                      <a:avLst/>
                    </a:prstGeom>
                  </pic:spPr>
                </pic:pic>
              </a:graphicData>
            </a:graphic>
          </wp:inline>
        </w:drawing>
      </w:r>
    </w:p>
    <w:p w14:paraId="70B4242C" w14:textId="77777777" w:rsidR="00260D06" w:rsidRPr="00AC0422" w:rsidRDefault="00260D06" w:rsidP="00260D06">
      <w:pPr>
        <w:keepNext/>
        <w:spacing w:after="120"/>
        <w:rPr>
          <w:rFonts w:asciiTheme="minorHAnsi" w:hAnsiTheme="minorHAnsi" w:cstheme="minorHAnsi"/>
          <w:szCs w:val="20"/>
          <w:lang w:eastAsia="ja-JP"/>
        </w:rPr>
      </w:pPr>
      <w:r w:rsidRPr="00AC0422">
        <w:rPr>
          <w:rFonts w:asciiTheme="minorHAnsi" w:hAnsiTheme="minorHAnsi" w:cstheme="minorHAnsi"/>
          <w:noProof/>
          <w:szCs w:val="20"/>
        </w:rPr>
        <w:lastRenderedPageBreak/>
        <w:t xml:space="preserve"> </w:t>
      </w:r>
      <w:r w:rsidRPr="00AC0422">
        <w:rPr>
          <w:rFonts w:asciiTheme="minorHAnsi" w:hAnsiTheme="minorHAnsi" w:cstheme="minorHAnsi"/>
          <w:noProof/>
          <w:szCs w:val="20"/>
          <w:lang w:eastAsia="ja-JP"/>
        </w:rPr>
        <w:drawing>
          <wp:inline distT="0" distB="0" distL="0" distR="0" wp14:anchorId="4671384F" wp14:editId="0482EDD7">
            <wp:extent cx="8344477" cy="4763386"/>
            <wp:effectExtent l="0" t="0" r="0" b="0"/>
            <wp:docPr id="1551903595" name="Picture 2"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03595" name="Picture 2" descr="A close-up of a chart&#10;&#10;AI-generated content may be incorrect."/>
                    <pic:cNvPicPr/>
                  </pic:nvPicPr>
                  <pic:blipFill>
                    <a:blip r:embed="rId35"/>
                    <a:stretch>
                      <a:fillRect/>
                    </a:stretch>
                  </pic:blipFill>
                  <pic:spPr>
                    <a:xfrm>
                      <a:off x="0" y="0"/>
                      <a:ext cx="8416161" cy="4804306"/>
                    </a:xfrm>
                    <a:prstGeom prst="rect">
                      <a:avLst/>
                    </a:prstGeom>
                  </pic:spPr>
                </pic:pic>
              </a:graphicData>
            </a:graphic>
          </wp:inline>
        </w:drawing>
      </w:r>
    </w:p>
    <w:p w14:paraId="5AAF7AD2" w14:textId="225CE18E" w:rsidR="00B55FE3" w:rsidRPr="00AC0422" w:rsidRDefault="00B55FE3" w:rsidP="00327B19">
      <w:pPr>
        <w:spacing w:after="0"/>
        <w:rPr>
          <w:rFonts w:asciiTheme="minorHAnsi" w:hAnsiTheme="minorHAnsi" w:cstheme="minorHAnsi"/>
          <w:i/>
          <w:szCs w:val="20"/>
          <w:highlight w:val="yellow"/>
        </w:rPr>
      </w:pPr>
    </w:p>
    <w:p w14:paraId="26516118" w14:textId="77777777" w:rsidR="00AC4932" w:rsidRPr="00AC0422" w:rsidRDefault="00AC4932" w:rsidP="001354E3">
      <w:pPr>
        <w:spacing w:after="0"/>
        <w:jc w:val="left"/>
        <w:rPr>
          <w:rFonts w:asciiTheme="minorHAnsi" w:hAnsiTheme="minorHAnsi" w:cstheme="minorHAnsi"/>
          <w:i/>
          <w:szCs w:val="20"/>
          <w:highlight w:val="yellow"/>
        </w:rPr>
        <w:sectPr w:rsidR="00AC4932" w:rsidRPr="00AC0422" w:rsidSect="00950B12">
          <w:pgSz w:w="15840" w:h="12240" w:orient="landscape" w:code="1"/>
          <w:pgMar w:top="1440" w:right="1440" w:bottom="1440" w:left="1440" w:header="720" w:footer="432" w:gutter="0"/>
          <w:cols w:space="708"/>
          <w:titlePg/>
          <w:docGrid w:linePitch="360"/>
        </w:sectPr>
      </w:pPr>
    </w:p>
    <w:p w14:paraId="1907A4F4" w14:textId="77777777" w:rsidR="00B55FE3" w:rsidRPr="00AC0422" w:rsidRDefault="00B55FE3" w:rsidP="001354E3">
      <w:pPr>
        <w:spacing w:after="0"/>
        <w:jc w:val="left"/>
        <w:rPr>
          <w:rFonts w:asciiTheme="minorHAnsi" w:hAnsiTheme="minorHAnsi" w:cstheme="minorHAnsi"/>
          <w:i/>
          <w:szCs w:val="20"/>
          <w:highlight w:val="yellow"/>
        </w:rPr>
      </w:pPr>
    </w:p>
    <w:p w14:paraId="554FF63D" w14:textId="77777777" w:rsidR="00F00E11" w:rsidRPr="00AC0422" w:rsidRDefault="0032007D" w:rsidP="00841551">
      <w:pPr>
        <w:pStyle w:val="Heading1"/>
        <w:spacing w:before="0" w:after="0"/>
        <w:rPr>
          <w:rFonts w:asciiTheme="minorHAnsi" w:hAnsiTheme="minorHAnsi" w:cstheme="minorHAnsi"/>
          <w:szCs w:val="28"/>
        </w:rPr>
      </w:pPr>
      <w:bookmarkStart w:id="13" w:name="_Toc40273937"/>
      <w:r w:rsidRPr="00AC0422">
        <w:rPr>
          <w:rFonts w:asciiTheme="minorHAnsi" w:hAnsiTheme="minorHAnsi" w:cstheme="minorHAnsi"/>
          <w:szCs w:val="28"/>
        </w:rPr>
        <w:t>Results and P</w:t>
      </w:r>
      <w:r w:rsidR="00DA3833" w:rsidRPr="00AC0422">
        <w:rPr>
          <w:rFonts w:asciiTheme="minorHAnsi" w:hAnsiTheme="minorHAnsi" w:cstheme="minorHAnsi"/>
          <w:szCs w:val="28"/>
        </w:rPr>
        <w:t>artnerships</w:t>
      </w:r>
      <w:bookmarkEnd w:id="13"/>
      <w:r w:rsidR="0094042F" w:rsidRPr="00AC0422">
        <w:rPr>
          <w:rFonts w:asciiTheme="minorHAnsi" w:hAnsiTheme="minorHAnsi" w:cstheme="minorHAnsi"/>
          <w:szCs w:val="28"/>
        </w:rPr>
        <w:t xml:space="preserve"> </w:t>
      </w:r>
    </w:p>
    <w:p w14:paraId="0A5D7B8B" w14:textId="77777777" w:rsidR="007F67A1" w:rsidRPr="00AC0422" w:rsidRDefault="007F67A1" w:rsidP="004C0749">
      <w:pPr>
        <w:spacing w:after="0"/>
        <w:jc w:val="left"/>
        <w:rPr>
          <w:rFonts w:asciiTheme="minorHAnsi" w:hAnsiTheme="minorHAnsi" w:cstheme="minorHAnsi"/>
          <w:b/>
          <w:iCs/>
          <w:szCs w:val="20"/>
          <w:u w:val="single"/>
        </w:rPr>
      </w:pPr>
    </w:p>
    <w:p w14:paraId="4E504BDE" w14:textId="77777777" w:rsidR="00277389" w:rsidRPr="00AC0422" w:rsidRDefault="00277389" w:rsidP="00277389">
      <w:pPr>
        <w:spacing w:after="0"/>
        <w:rPr>
          <w:rFonts w:asciiTheme="minorHAnsi" w:hAnsiTheme="minorHAnsi" w:cstheme="minorHAnsi"/>
          <w:i/>
          <w:szCs w:val="20"/>
        </w:rPr>
      </w:pPr>
      <w:r w:rsidRPr="00AC0422">
        <w:rPr>
          <w:rFonts w:asciiTheme="minorHAnsi" w:hAnsiTheme="minorHAnsi" w:cstheme="minorHAnsi"/>
          <w:szCs w:val="20"/>
          <w:u w:val="single"/>
        </w:rPr>
        <w:t>Expected Results</w:t>
      </w:r>
      <w:r w:rsidRPr="00AC0422">
        <w:rPr>
          <w:rFonts w:asciiTheme="minorHAnsi" w:hAnsiTheme="minorHAnsi" w:cstheme="minorHAnsi"/>
          <w:i/>
          <w:szCs w:val="20"/>
        </w:rPr>
        <w:t xml:space="preserve">: </w:t>
      </w:r>
    </w:p>
    <w:p w14:paraId="71AA25C4" w14:textId="77777777" w:rsidR="00645E7F" w:rsidRPr="00AC0422" w:rsidRDefault="00645E7F" w:rsidP="000F32A2">
      <w:pPr>
        <w:spacing w:after="120"/>
        <w:rPr>
          <w:rFonts w:asciiTheme="minorHAnsi" w:eastAsia="Times New Roman" w:hAnsiTheme="minorHAnsi" w:cstheme="minorHAnsi"/>
          <w:szCs w:val="20"/>
        </w:rPr>
      </w:pPr>
      <w:r w:rsidRPr="00AC0422">
        <w:rPr>
          <w:rFonts w:asciiTheme="minorHAnsi" w:eastAsia="Times New Roman" w:hAnsiTheme="minorHAnsi" w:cstheme="minorHAnsi"/>
          <w:b/>
          <w:szCs w:val="20"/>
        </w:rPr>
        <w:t>The project goal</w:t>
      </w:r>
      <w:r w:rsidRPr="00AC0422">
        <w:rPr>
          <w:rFonts w:asciiTheme="minorHAnsi" w:eastAsia="Times New Roman" w:hAnsiTheme="minorHAnsi" w:cstheme="minorHAnsi"/>
          <w:szCs w:val="20"/>
        </w:rPr>
        <w:t xml:space="preserve"> is to enable key climate-vulnerable sectors in Yemen to build a foundation to systematically coordinate, design, operationalize, finance, and monitor climate risk-informed, strategic, climate change adaptation actions while taking conflict-related risks and impacts into account, ultimately leading to increased community resilience in terms of physical infrastructure and socio-economic factors in response to climate change challenges.</w:t>
      </w:r>
    </w:p>
    <w:p w14:paraId="2777C910" w14:textId="77777777" w:rsidR="00645E7F" w:rsidRPr="00AC0422" w:rsidRDefault="00645E7F" w:rsidP="000F32A2">
      <w:pPr>
        <w:spacing w:after="120"/>
        <w:rPr>
          <w:rFonts w:asciiTheme="minorHAnsi" w:eastAsia="Times New Roman" w:hAnsiTheme="minorHAnsi" w:cstheme="minorHAnsi"/>
          <w:szCs w:val="20"/>
        </w:rPr>
      </w:pPr>
      <w:r w:rsidRPr="00AC0422">
        <w:rPr>
          <w:rFonts w:asciiTheme="minorHAnsi" w:eastAsia="Times New Roman" w:hAnsiTheme="minorHAnsi" w:cstheme="minorHAnsi"/>
          <w:b/>
          <w:szCs w:val="20"/>
        </w:rPr>
        <w:t>The objective of this project</w:t>
      </w:r>
      <w:r w:rsidRPr="00AC0422">
        <w:rPr>
          <w:rFonts w:asciiTheme="minorHAnsi" w:eastAsia="Times New Roman" w:hAnsiTheme="minorHAnsi" w:cstheme="minorHAnsi"/>
          <w:szCs w:val="20"/>
        </w:rPr>
        <w:t xml:space="preserve"> is to enhance Yemen's climate change adaptation capacity and integrate climate change adaptation into sectoral plans by strengthening coordination, technical expertise, financial mechanisms, and institutional capacities and integrating conflict sensitivity into adaptation planning and to develop the NAP document. The project will establish coordination, financing, M&amp;E, and knowledge-sharing mechanisms and systems. It will develop downscaled climate risk and vulnerability assessment data, conduct conflict analysis, and carry out stakeholder mapping. Additionally, the project will mainstream and integrate climate change adaptation into sectoral plans and budgets of four highly vulnerable sectors (water, agriculture, coastal zones, and health, as well as cross-sectoral humanitarian response and recovery efforts), and integrate sectoral NAPs into the overall NAP document. These efforts will lay the foundation for effective climate adaptation solutions supported by increased adaptation finance.</w:t>
      </w:r>
    </w:p>
    <w:p w14:paraId="39694434" w14:textId="77777777" w:rsidR="00645E7F" w:rsidRPr="00AC0422" w:rsidRDefault="00645E7F" w:rsidP="000F32A2">
      <w:pPr>
        <w:spacing w:after="120"/>
        <w:rPr>
          <w:rFonts w:asciiTheme="minorHAnsi" w:eastAsia="Times New Roman" w:hAnsiTheme="minorHAnsi" w:cstheme="minorHAnsi"/>
          <w:szCs w:val="20"/>
        </w:rPr>
      </w:pPr>
      <w:bookmarkStart w:id="14" w:name="_Hlk164692693"/>
      <w:r w:rsidRPr="00AC0422">
        <w:rPr>
          <w:rFonts w:asciiTheme="minorHAnsi" w:eastAsia="Times New Roman" w:hAnsiTheme="minorHAnsi" w:cstheme="minorHAnsi"/>
          <w:szCs w:val="20"/>
        </w:rPr>
        <w:t xml:space="preserve">This proposal aligns with Outcome 3 of the GCF readiness for the National Adaptation Plan (NAP) and focuses on multiple key results under various Output areas.  </w:t>
      </w:r>
    </w:p>
    <w:bookmarkEnd w:id="14"/>
    <w:p w14:paraId="61A8F1E9" w14:textId="08804848" w:rsidR="00277389" w:rsidRPr="00AC0422" w:rsidRDefault="00277389" w:rsidP="000F32A2">
      <w:pPr>
        <w:pStyle w:val="ListParagraph"/>
        <w:spacing w:before="120" w:after="120"/>
        <w:ind w:left="-14"/>
        <w:jc w:val="both"/>
        <w:rPr>
          <w:rFonts w:asciiTheme="minorHAnsi" w:hAnsiTheme="minorHAnsi" w:cstheme="minorHAnsi"/>
          <w:sz w:val="20"/>
          <w:szCs w:val="20"/>
        </w:rPr>
      </w:pPr>
      <w:r w:rsidRPr="00AC0422">
        <w:rPr>
          <w:rFonts w:asciiTheme="minorHAnsi" w:hAnsiTheme="minorHAnsi" w:cstheme="minorHAnsi"/>
          <w:sz w:val="20"/>
          <w:szCs w:val="20"/>
        </w:rPr>
        <w:t xml:space="preserve">The project goal will be met through following outcomes; </w:t>
      </w:r>
    </w:p>
    <w:p w14:paraId="62241934" w14:textId="02206442" w:rsidR="008D0101" w:rsidRPr="00AC0422" w:rsidRDefault="008D0101" w:rsidP="004C0749">
      <w:pPr>
        <w:spacing w:after="0"/>
        <w:jc w:val="left"/>
        <w:rPr>
          <w:rFonts w:asciiTheme="minorHAnsi" w:hAnsiTheme="minorHAnsi" w:cstheme="minorHAnsi"/>
          <w:b/>
          <w:iCs/>
          <w:szCs w:val="20"/>
          <w:u w:val="single"/>
        </w:rPr>
      </w:pPr>
    </w:p>
    <w:p w14:paraId="6213FE6F" w14:textId="77777777" w:rsidR="00B96700" w:rsidRPr="00AC0422" w:rsidRDefault="00B96700" w:rsidP="005D2C02">
      <w:pPr>
        <w:pStyle w:val="ListParagraph"/>
        <w:numPr>
          <w:ilvl w:val="0"/>
          <w:numId w:val="39"/>
        </w:numPr>
        <w:spacing w:after="120"/>
        <w:ind w:right="-28"/>
        <w:contextualSpacing/>
        <w:rPr>
          <w:rFonts w:asciiTheme="minorHAnsi" w:hAnsiTheme="minorHAnsi" w:cstheme="minorHAnsi"/>
          <w:b/>
          <w:sz w:val="20"/>
          <w:szCs w:val="20"/>
        </w:rPr>
      </w:pPr>
      <w:r w:rsidRPr="00AC0422">
        <w:rPr>
          <w:rFonts w:asciiTheme="minorHAnsi" w:hAnsiTheme="minorHAnsi" w:cstheme="minorHAnsi"/>
          <w:b/>
          <w:sz w:val="20"/>
          <w:szCs w:val="20"/>
          <w:lang w:eastAsia="en-GB"/>
        </w:rPr>
        <w:t>Outcome 3.1: Adaptation planning governance and institutional coordination strengthened.</w:t>
      </w:r>
    </w:p>
    <w:p w14:paraId="3414CDDA" w14:textId="77777777" w:rsidR="00B96700" w:rsidRPr="00AC0422" w:rsidRDefault="00B96700" w:rsidP="00B96700">
      <w:pPr>
        <w:spacing w:after="120"/>
        <w:rPr>
          <w:rFonts w:asciiTheme="minorHAnsi" w:hAnsiTheme="minorHAnsi" w:cstheme="minorHAnsi"/>
          <w:iCs/>
          <w:szCs w:val="20"/>
          <w:lang w:eastAsia="ja-JP"/>
        </w:rPr>
      </w:pPr>
      <w:r w:rsidRPr="00AC0422">
        <w:rPr>
          <w:rFonts w:asciiTheme="minorHAnsi" w:hAnsiTheme="minorHAnsi" w:cstheme="minorHAnsi"/>
          <w:iCs/>
          <w:szCs w:val="20"/>
          <w:lang w:eastAsia="ja-JP"/>
        </w:rPr>
        <w:t xml:space="preserve">The projects </w:t>
      </w:r>
      <w:r w:rsidRPr="00AC0422">
        <w:rPr>
          <w:rFonts w:asciiTheme="minorHAnsi" w:hAnsiTheme="minorHAnsi" w:cstheme="minorHAnsi"/>
          <w:b/>
          <w:bCs/>
          <w:iCs/>
          <w:szCs w:val="20"/>
          <w:lang w:eastAsia="ja-JP"/>
        </w:rPr>
        <w:t>Outputs 3.1.1, 3.1.3, and 3.1.4</w:t>
      </w:r>
      <w:r w:rsidRPr="00AC0422">
        <w:rPr>
          <w:rFonts w:asciiTheme="minorHAnsi" w:hAnsiTheme="minorHAnsi" w:cstheme="minorHAnsi"/>
          <w:iCs/>
          <w:szCs w:val="20"/>
          <w:lang w:eastAsia="ja-JP"/>
        </w:rPr>
        <w:t xml:space="preserve"> will all contribute to Outcome 3.1 by addressing </w:t>
      </w:r>
      <w:r w:rsidRPr="00AC0422">
        <w:rPr>
          <w:rFonts w:asciiTheme="minorHAnsi" w:hAnsiTheme="minorHAnsi" w:cstheme="minorHAnsi"/>
          <w:b/>
          <w:bCs/>
          <w:iCs/>
          <w:szCs w:val="20"/>
          <w:lang w:eastAsia="ja-JP"/>
        </w:rPr>
        <w:t xml:space="preserve">Barrier 1: Limited systematic inter-ministerial coordination for adaptation planning </w:t>
      </w:r>
      <w:r w:rsidRPr="00AC0422">
        <w:rPr>
          <w:rFonts w:asciiTheme="minorHAnsi" w:hAnsiTheme="minorHAnsi" w:cstheme="minorHAnsi"/>
          <w:iCs/>
          <w:szCs w:val="20"/>
          <w:lang w:eastAsia="ja-JP"/>
        </w:rPr>
        <w:t xml:space="preserve">and </w:t>
      </w:r>
      <w:r w:rsidRPr="00AC0422">
        <w:rPr>
          <w:rFonts w:asciiTheme="minorHAnsi" w:hAnsiTheme="minorHAnsi" w:cstheme="minorHAnsi"/>
          <w:b/>
          <w:bCs/>
          <w:iCs/>
          <w:szCs w:val="20"/>
          <w:lang w:eastAsia="ja-JP"/>
        </w:rPr>
        <w:t xml:space="preserve">Barrier 3: </w:t>
      </w:r>
      <w:r w:rsidRPr="00AC0422">
        <w:rPr>
          <w:rFonts w:asciiTheme="minorHAnsi" w:hAnsiTheme="minorHAnsi" w:cstheme="minorHAnsi"/>
          <w:b/>
          <w:bCs/>
          <w:szCs w:val="20"/>
        </w:rPr>
        <w:t>Lack of conflict analysis and an approach to address CCA challenges in crisis contexts</w:t>
      </w:r>
      <w:r w:rsidRPr="00AC0422">
        <w:rPr>
          <w:rFonts w:asciiTheme="minorHAnsi" w:hAnsiTheme="minorHAnsi" w:cstheme="minorHAnsi"/>
          <w:iCs/>
          <w:szCs w:val="20"/>
          <w:lang w:eastAsia="ja-JP"/>
        </w:rPr>
        <w:t xml:space="preserve">.  Under </w:t>
      </w:r>
      <w:r w:rsidRPr="00AC0422">
        <w:rPr>
          <w:rFonts w:asciiTheme="minorHAnsi" w:hAnsiTheme="minorHAnsi" w:cstheme="minorHAnsi"/>
          <w:b/>
          <w:bCs/>
          <w:iCs/>
          <w:szCs w:val="20"/>
          <w:lang w:eastAsia="ja-JP"/>
        </w:rPr>
        <w:t>Activity 3.1.1.1</w:t>
      </w:r>
      <w:r w:rsidRPr="00AC0422">
        <w:rPr>
          <w:rFonts w:asciiTheme="minorHAnsi" w:hAnsiTheme="minorHAnsi" w:cstheme="minorHAnsi"/>
          <w:iCs/>
          <w:szCs w:val="20"/>
          <w:lang w:eastAsia="ja-JP"/>
        </w:rPr>
        <w:t xml:space="preserve">, the National Adaptation Plan and costed National Implementation Plan will be developed and validated, based on consolidated costed sectoral NAPs which will be developed under </w:t>
      </w:r>
      <w:r w:rsidRPr="00AC0422">
        <w:rPr>
          <w:rFonts w:asciiTheme="minorHAnsi" w:hAnsiTheme="minorHAnsi" w:cstheme="minorHAnsi"/>
          <w:b/>
          <w:bCs/>
          <w:iCs/>
          <w:szCs w:val="20"/>
          <w:lang w:eastAsia="ja-JP"/>
        </w:rPr>
        <w:t>Activity 3.1.1.3</w:t>
      </w:r>
      <w:r w:rsidRPr="00AC0422">
        <w:rPr>
          <w:rFonts w:asciiTheme="minorHAnsi" w:hAnsiTheme="minorHAnsi" w:cstheme="minorHAnsi"/>
          <w:iCs/>
          <w:szCs w:val="20"/>
          <w:lang w:eastAsia="ja-JP"/>
        </w:rPr>
        <w:t xml:space="preserve">.  The sectoral NAPs will be based on utilizing approaches and guidance for mainstreaming gender and social inclusion into adaptation planning as well as an approach and guidance for mainstreaming adaptation into humanitarian response and recovery.  </w:t>
      </w:r>
      <w:r w:rsidRPr="00AC0422">
        <w:rPr>
          <w:rFonts w:asciiTheme="minorHAnsi" w:hAnsiTheme="minorHAnsi" w:cstheme="minorHAnsi"/>
          <w:b/>
          <w:bCs/>
          <w:iCs/>
          <w:szCs w:val="20"/>
          <w:lang w:eastAsia="ja-JP"/>
        </w:rPr>
        <w:t>Activity 3.1.1.3d</w:t>
      </w:r>
      <w:r w:rsidRPr="00AC0422">
        <w:rPr>
          <w:rFonts w:asciiTheme="minorHAnsi" w:hAnsiTheme="minorHAnsi" w:cstheme="minorHAnsi"/>
          <w:iCs/>
          <w:szCs w:val="20"/>
          <w:lang w:eastAsia="ja-JP"/>
        </w:rPr>
        <w:t xml:space="preserve"> will </w:t>
      </w:r>
      <w:r w:rsidRPr="00AC0422">
        <w:rPr>
          <w:rFonts w:asciiTheme="minorHAnsi" w:hAnsiTheme="minorHAnsi" w:cstheme="minorHAnsi"/>
          <w:szCs w:val="20"/>
          <w:lang w:val="en-GB" w:eastAsia="en-GB"/>
        </w:rPr>
        <w:t>prepare</w:t>
      </w:r>
      <w:r w:rsidRPr="00AC0422">
        <w:rPr>
          <w:rFonts w:asciiTheme="minorHAnsi" w:hAnsiTheme="minorHAnsi" w:cstheme="minorHAnsi"/>
        </w:rPr>
        <w:t xml:space="preserve"> </w:t>
      </w:r>
      <w:r w:rsidRPr="00AC0422">
        <w:rPr>
          <w:rFonts w:asciiTheme="minorHAnsi" w:hAnsiTheme="minorHAnsi" w:cstheme="minorHAnsi"/>
          <w:szCs w:val="20"/>
        </w:rPr>
        <w:t xml:space="preserve">a conflict-sensitive approach paper for Yemen’s adaptation </w:t>
      </w:r>
      <w:r w:rsidRPr="00AC0422">
        <w:rPr>
          <w:rFonts w:asciiTheme="minorHAnsi" w:hAnsiTheme="minorHAnsi" w:cstheme="minorHAnsi"/>
          <w:iCs/>
          <w:szCs w:val="20"/>
          <w:lang w:eastAsia="ja-JP"/>
        </w:rPr>
        <w:t>planning which includes stakeholder mapping and explaining how conflict and crisis and peacebuilding approaches need a more flexible approach in Yemen’s NAP.</w:t>
      </w:r>
    </w:p>
    <w:p w14:paraId="1D2A02C2" w14:textId="77777777" w:rsidR="00B96700" w:rsidRPr="00AC0422" w:rsidRDefault="00B96700" w:rsidP="00B96700">
      <w:pPr>
        <w:spacing w:after="120"/>
        <w:rPr>
          <w:rFonts w:asciiTheme="minorHAnsi" w:hAnsiTheme="minorHAnsi" w:cstheme="minorHAnsi"/>
          <w:iCs/>
          <w:szCs w:val="20"/>
          <w:lang w:eastAsia="ja-JP"/>
        </w:rPr>
      </w:pPr>
      <w:r w:rsidRPr="00AC0422">
        <w:rPr>
          <w:rFonts w:asciiTheme="minorHAnsi" w:hAnsiTheme="minorHAnsi" w:cstheme="minorHAnsi"/>
          <w:iCs/>
          <w:szCs w:val="20"/>
          <w:lang w:eastAsia="ja-JP"/>
        </w:rPr>
        <w:t xml:space="preserve">The project’s </w:t>
      </w:r>
      <w:r w:rsidRPr="00AC0422">
        <w:rPr>
          <w:rFonts w:asciiTheme="minorHAnsi" w:hAnsiTheme="minorHAnsi" w:cstheme="minorHAnsi"/>
          <w:b/>
          <w:bCs/>
          <w:iCs/>
          <w:szCs w:val="20"/>
          <w:lang w:eastAsia="ja-JP"/>
        </w:rPr>
        <w:t>Output 3.1.3</w:t>
      </w:r>
      <w:r w:rsidRPr="00AC0422">
        <w:rPr>
          <w:rFonts w:asciiTheme="minorHAnsi" w:hAnsiTheme="minorHAnsi" w:cstheme="minorHAnsi"/>
          <w:iCs/>
          <w:szCs w:val="20"/>
          <w:lang w:eastAsia="ja-JP"/>
        </w:rPr>
        <w:t xml:space="preserve"> a fully capacitated coordination mechanism for the NAP process in Yemen established at the national level under the Technical Climate Coordination Committee (TCCC) </w:t>
      </w:r>
      <w:r w:rsidRPr="00AC0422">
        <w:rPr>
          <w:rFonts w:asciiTheme="minorHAnsi" w:hAnsiTheme="minorHAnsi" w:cstheme="minorHAnsi"/>
          <w:b/>
          <w:bCs/>
          <w:iCs/>
          <w:szCs w:val="20"/>
          <w:lang w:eastAsia="ja-JP"/>
        </w:rPr>
        <w:t>(Activity 3.1.3.1)</w:t>
      </w:r>
      <w:r w:rsidRPr="00AC0422">
        <w:rPr>
          <w:rFonts w:asciiTheme="minorHAnsi" w:hAnsiTheme="minorHAnsi" w:cstheme="minorHAnsi"/>
          <w:iCs/>
          <w:szCs w:val="20"/>
          <w:lang w:eastAsia="ja-JP"/>
        </w:rPr>
        <w:t xml:space="preserve">. Under Activity 3.1.3.1. the project will also establish National Thematic Clusters (NTCs) under the TCCC for up to four priority sectors: </w:t>
      </w:r>
      <w:proofErr w:type="spellStart"/>
      <w:r w:rsidRPr="00AC0422">
        <w:rPr>
          <w:rFonts w:asciiTheme="minorHAnsi" w:hAnsiTheme="minorHAnsi" w:cstheme="minorHAnsi"/>
          <w:iCs/>
          <w:szCs w:val="20"/>
          <w:lang w:eastAsia="ja-JP"/>
        </w:rPr>
        <w:t>i</w:t>
      </w:r>
      <w:proofErr w:type="spellEnd"/>
      <w:r w:rsidRPr="00AC0422">
        <w:rPr>
          <w:rFonts w:asciiTheme="minorHAnsi" w:hAnsiTheme="minorHAnsi" w:cstheme="minorHAnsi"/>
          <w:iCs/>
          <w:szCs w:val="20"/>
          <w:lang w:eastAsia="ja-JP"/>
        </w:rPr>
        <w:t>) agriculture and ii) water, iii) coastal zones, iv) health; and v) a cross-sectoral humanitarian sub-cluster, and mandates of the NTCs will be developed.  Capacity development will be implemented for members of the TCC and NTC based on a Capacity Development Plan for NAP to be developed by the project under Output 3.1.4.</w:t>
      </w:r>
    </w:p>
    <w:p w14:paraId="6FB888CB" w14:textId="77777777" w:rsidR="00B96700" w:rsidRPr="00AC0422" w:rsidRDefault="00B96700" w:rsidP="00B96700">
      <w:pPr>
        <w:spacing w:after="120"/>
        <w:rPr>
          <w:rFonts w:asciiTheme="minorHAnsi" w:hAnsiTheme="minorHAnsi" w:cstheme="minorHAnsi"/>
          <w:iCs/>
          <w:szCs w:val="20"/>
          <w:lang w:eastAsia="ja-JP"/>
        </w:rPr>
      </w:pPr>
      <w:r w:rsidRPr="00AC0422">
        <w:rPr>
          <w:rFonts w:asciiTheme="minorHAnsi" w:hAnsiTheme="minorHAnsi" w:cstheme="minorHAnsi"/>
          <w:iCs/>
          <w:szCs w:val="20"/>
          <w:lang w:eastAsia="ja-JP"/>
        </w:rPr>
        <w:t xml:space="preserve">Under the project’s Output 3.1.4 centralized awareness-raising and knowledge-sharing mechanisms will be established, and a public awareness-raising campaign developed and implemented for government officials, NGOs, CSOs, the private sector, and local communities; a Capacity Development Strategy and Plan will be developed and implemented based on a detailed institutional capacity assessment and gap analysis. </w:t>
      </w:r>
    </w:p>
    <w:p w14:paraId="1564B60E" w14:textId="77777777" w:rsidR="00B96700" w:rsidRPr="00AC0422" w:rsidRDefault="00B96700" w:rsidP="00B96700">
      <w:pPr>
        <w:spacing w:after="120"/>
        <w:rPr>
          <w:rFonts w:asciiTheme="minorHAnsi" w:hAnsiTheme="minorHAnsi" w:cstheme="minorHAnsi"/>
          <w:iCs/>
          <w:szCs w:val="20"/>
          <w:lang w:eastAsia="ja-JP"/>
        </w:rPr>
      </w:pPr>
      <w:r w:rsidRPr="00AC0422">
        <w:rPr>
          <w:rFonts w:asciiTheme="minorHAnsi" w:hAnsiTheme="minorHAnsi" w:cstheme="minorHAnsi"/>
          <w:iCs/>
          <w:szCs w:val="20"/>
          <w:lang w:eastAsia="ja-JP"/>
        </w:rPr>
        <w:t xml:space="preserve">In delivering Output 3.1, the project will need to ensure that all relevant government and non-government agencies are fully engaged and continue to be committed to cooperating on climate change adaptation planning.  The project will therefore need to overcome </w:t>
      </w:r>
      <w:bookmarkStart w:id="15" w:name="_Hlk162543426"/>
      <w:r w:rsidRPr="00AC0422">
        <w:rPr>
          <w:rFonts w:asciiTheme="minorHAnsi" w:hAnsiTheme="minorHAnsi" w:cstheme="minorHAnsi"/>
          <w:b/>
          <w:bCs/>
          <w:i/>
          <w:szCs w:val="20"/>
          <w:lang w:eastAsia="ja-JP"/>
        </w:rPr>
        <w:t xml:space="preserve">Risk 1 - </w:t>
      </w:r>
      <w:bookmarkEnd w:id="15"/>
      <w:r w:rsidRPr="00AC0422">
        <w:rPr>
          <w:rFonts w:asciiTheme="minorHAnsi" w:hAnsiTheme="minorHAnsi" w:cstheme="minorHAnsi"/>
          <w:b/>
          <w:bCs/>
          <w:i/>
          <w:szCs w:val="20"/>
          <w:lang w:eastAsia="ja-JP"/>
        </w:rPr>
        <w:t>Lack of political will and stakeholder capacity to maintain effective inter-ministerial coordination, and CCA M&amp;E systems,</w:t>
      </w:r>
      <w:r w:rsidRPr="00AC0422">
        <w:rPr>
          <w:rFonts w:asciiTheme="minorHAnsi" w:hAnsiTheme="minorHAnsi" w:cstheme="minorHAnsi"/>
          <w:iCs/>
          <w:szCs w:val="20"/>
          <w:lang w:eastAsia="ja-JP"/>
        </w:rPr>
        <w:t xml:space="preserve"> and will put in place the necessary risk mitigation measures throughout implementation.  </w:t>
      </w:r>
    </w:p>
    <w:p w14:paraId="53A8F68D" w14:textId="77777777" w:rsidR="00B96700" w:rsidRPr="00AC0422" w:rsidRDefault="00B96700" w:rsidP="00B96700">
      <w:pPr>
        <w:keepNext/>
        <w:spacing w:after="120"/>
        <w:rPr>
          <w:rFonts w:asciiTheme="minorHAnsi" w:hAnsiTheme="minorHAnsi" w:cstheme="minorHAnsi"/>
          <w:b/>
          <w:bCs/>
          <w:i/>
          <w:szCs w:val="20"/>
          <w:lang w:eastAsia="ja-JP"/>
        </w:rPr>
      </w:pPr>
      <w:r w:rsidRPr="00AC0422">
        <w:rPr>
          <w:rFonts w:asciiTheme="minorHAnsi" w:hAnsiTheme="minorHAnsi" w:cstheme="minorHAnsi"/>
          <w:b/>
          <w:bCs/>
          <w:i/>
          <w:szCs w:val="20"/>
          <w:lang w:eastAsia="ja-JP"/>
        </w:rPr>
        <w:lastRenderedPageBreak/>
        <w:t>Output 3.1.1: National, sub-national, and/or sectoral adaptation plans developed or updated</w:t>
      </w:r>
    </w:p>
    <w:p w14:paraId="1407534C" w14:textId="77777777" w:rsidR="00B96700" w:rsidRPr="00AC0422" w:rsidRDefault="00B96700" w:rsidP="00B96700">
      <w:pPr>
        <w:keepNext/>
        <w:spacing w:after="120"/>
        <w:rPr>
          <w:rFonts w:asciiTheme="minorHAnsi" w:hAnsiTheme="minorHAnsi" w:cstheme="minorHAnsi"/>
          <w:b/>
          <w:bCs/>
          <w:i/>
          <w:iCs/>
          <w:szCs w:val="20"/>
          <w:u w:val="single"/>
          <w:lang w:eastAsia="ja-JP"/>
        </w:rPr>
      </w:pPr>
      <w:r w:rsidRPr="00AC0422">
        <w:rPr>
          <w:rFonts w:asciiTheme="minorHAnsi" w:hAnsiTheme="minorHAnsi" w:cstheme="minorHAnsi"/>
          <w:b/>
          <w:bCs/>
          <w:i/>
          <w:iCs/>
          <w:szCs w:val="20"/>
          <w:u w:val="single"/>
          <w:lang w:eastAsia="ja-JP"/>
        </w:rPr>
        <w:t>Activity 3.1.1.1   Consolidate sectoral adaptation plans into a cross-cutting National Adaptation Plan (NAP)</w:t>
      </w:r>
    </w:p>
    <w:p w14:paraId="78133670" w14:textId="77777777" w:rsidR="00B96700" w:rsidRPr="00AC0422" w:rsidRDefault="00B96700" w:rsidP="00B96700">
      <w:pPr>
        <w:keepNext/>
        <w:spacing w:after="120"/>
        <w:rPr>
          <w:rFonts w:asciiTheme="minorHAnsi" w:hAnsiTheme="minorHAnsi" w:cstheme="minorHAnsi"/>
          <w:i/>
          <w:iCs/>
          <w:szCs w:val="20"/>
          <w:u w:val="single"/>
          <w:lang w:eastAsia="ja-JP"/>
        </w:rPr>
      </w:pPr>
      <w:r w:rsidRPr="00AC0422">
        <w:rPr>
          <w:rFonts w:asciiTheme="minorHAnsi" w:hAnsiTheme="minorHAnsi" w:cstheme="minorHAnsi"/>
          <w:i/>
          <w:iCs/>
          <w:szCs w:val="20"/>
          <w:u w:val="single"/>
          <w:lang w:eastAsia="ja-JP"/>
        </w:rPr>
        <w:t xml:space="preserve">Activity 3.1.1.1a: Under the leadership of the TCC, NTCs and sectoral experts consolidate sectoral adaptation plans, analyses and agreements into a cross-cutting National Adaptation Plan (NAP). </w:t>
      </w:r>
    </w:p>
    <w:p w14:paraId="141C70DC"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eastAsia="Calibri" w:hAnsiTheme="minorHAnsi" w:cstheme="minorHAnsi"/>
          <w:szCs w:val="20"/>
        </w:rPr>
        <w:t xml:space="preserve">This activity aims to integrate sectoral adaptation plans from water, agriculture, coastal zones, and health into a unified National Adaptation Plan (NAP) for Yemen. By aligning these plans with national priorities, the process ensures a coordinated approach to climate resilience. Cross-sectoral coordination will promote coherence, address gaps, and incorporate themes like gender equity, social inclusion, and disaster risk reduction. The consolidated NAP will align with Yemen’s Intended Nationally Determined Contributions (NDCs) sectoral development plans, and international climate commitments, providing a strategic framework for implementation, financing, and monitoring climate adaptation measures, and fostering inter-sectoral collaboration to enhance Yemen’s climate resilience. The </w:t>
      </w:r>
      <w:r w:rsidRPr="00AC0422">
        <w:rPr>
          <w:rFonts w:asciiTheme="minorHAnsi" w:hAnsiTheme="minorHAnsi" w:cstheme="minorHAnsi"/>
          <w:szCs w:val="20"/>
          <w:lang w:eastAsia="ja-JP"/>
        </w:rPr>
        <w:t>NAP will provide a strategic framework and roadmap to guide the implementation, financing and monitoring of climate adaptation measures, optimizing resources, and fostering inter-sectoral coordination.</w:t>
      </w:r>
    </w:p>
    <w:p w14:paraId="2222594D"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hAnsiTheme="minorHAnsi" w:cstheme="minorHAnsi"/>
          <w:szCs w:val="20"/>
          <w:lang w:eastAsia="ja-JP"/>
        </w:rPr>
        <w:t>The National Adaptation Plan (NAP) process is critical to ensuring that Yemen's updated Nationally Determined Contribution (NDC) includes a robust, evidence-based, and implementable adaptation component. The NAP development will inform the adaptation section of the NDC in several key ways:</w:t>
      </w:r>
    </w:p>
    <w:p w14:paraId="1AC8AD5A"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hAnsiTheme="minorHAnsi" w:cstheme="minorHAnsi"/>
          <w:b/>
          <w:bCs/>
          <w:i/>
          <w:iCs/>
          <w:szCs w:val="20"/>
          <w:lang w:eastAsia="ja-JP"/>
        </w:rPr>
        <w:t>Strengthening the Evidence Base for the NDC’s Adaptation Component.</w:t>
      </w:r>
      <w:r w:rsidRPr="00AC0422">
        <w:rPr>
          <w:rFonts w:asciiTheme="minorHAnsi" w:hAnsiTheme="minorHAnsi" w:cstheme="minorHAnsi"/>
          <w:szCs w:val="20"/>
          <w:lang w:eastAsia="ja-JP"/>
        </w:rPr>
        <w:t xml:space="preserve"> The NAP process will generate up-to-date, sector-specific climate risk and vulnerability assessments, which will directly inform the adaptation priorities in the updated NDC. NAP Vulnerability Assessments (Output 3.2.2.1c) will provide sectoral and national climate risk assessments based on updated climate projections and exposure analyses. NAP Downscaled Climate Projections (Output 3.2.2.1a) offer improved climate modeling, allowing the NDC to incorporate more accurate adaptation scenarios. NAP Hazard Mapping (Output 3.2.2.1b) will generate spatial risk maps for droughts, floods, and heatwaves, ensuring that adaptation measures in the NDC target the most at-risk regions. By integrating NAP-generated climate data, the updated NDC will reflect up-to-date climate vulnerabilities, strengthening the credibility and strategic direction of adaptation actions.</w:t>
      </w:r>
    </w:p>
    <w:p w14:paraId="1FAF0906"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hAnsiTheme="minorHAnsi" w:cstheme="minorHAnsi"/>
          <w:b/>
          <w:bCs/>
          <w:i/>
          <w:iCs/>
          <w:szCs w:val="20"/>
          <w:lang w:eastAsia="ja-JP"/>
        </w:rPr>
        <w:t>Identifying and Prioritizing Adaptation Actions for the NDC.</w:t>
      </w:r>
      <w:r w:rsidRPr="00AC0422">
        <w:rPr>
          <w:rFonts w:asciiTheme="minorHAnsi" w:hAnsiTheme="minorHAnsi" w:cstheme="minorHAnsi"/>
          <w:szCs w:val="20"/>
          <w:lang w:eastAsia="ja-JP"/>
        </w:rPr>
        <w:t xml:space="preserve"> The NAP will outline sectoral adaptation priorities for water, agriculture, coastal zones, and health, providing a structured basis for the adaptation component of the NDC. NAP Sectoral Adaptation Plans (Output 3.1.1.3a) will detail priority adaptation interventions in key sectors, which will be incorporated directly into the NDC. NAP Mainstreaming Guidance (Output 3.1.1.3b &amp; 3.1.1.3c) will provide a framework for integrating climate adaptation into humanitarian efforts and gender-inclusive adaptation strategies, ensuring that the NDC includes socially inclusive and conflict-sensitive adaptation measures. The NAP’s emphasis on local-level adaptation (e.g., rainwater harvesting, climate-smart agriculture) will ensure that the NDC prioritizes scalable, community-driven solutions. This ensures that the adaptation measures in the NDC are not generic but aligned with Yemen’s specific climate risks, sectoral priorities, and community needs.</w:t>
      </w:r>
    </w:p>
    <w:p w14:paraId="18F9EEEB"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hAnsiTheme="minorHAnsi" w:cstheme="minorHAnsi"/>
          <w:b/>
          <w:bCs/>
          <w:i/>
          <w:iCs/>
          <w:szCs w:val="20"/>
          <w:lang w:eastAsia="ja-JP"/>
        </w:rPr>
        <w:t>Establishing a Clear Adaptation Monitoring, Evaluation, and Reporting (M&amp;E) Framework</w:t>
      </w:r>
      <w:r w:rsidRPr="00AC0422">
        <w:rPr>
          <w:rFonts w:asciiTheme="minorHAnsi" w:hAnsiTheme="minorHAnsi" w:cstheme="minorHAnsi"/>
          <w:szCs w:val="20"/>
          <w:lang w:eastAsia="ja-JP"/>
        </w:rPr>
        <w:t>. The updated NDC requires a framework to measure progress in adaptation implementation. The NAP will develop standardized indicators and tracking mechanisms, which will be integrated into the NDC’s monitoring framework. NAP adaptation M&amp;E System (Output 3.2.1.1a) will provide a structured framework for tracking adaptation progress, aligned with Paris Agreement requirements. NAP monitoring indicators will define measurable adaptation targets (e.g., hectares of drought-resistant crops planted, percentage of population covered by early warning systems) that can be adopted in the NDC’s monitoring framework. NAP Data Integration (Output 3.2.2.2a) will ensure that adaptation monitoring is linked to Yemen’s climate data-sharing portal, making NDC reporting more accurate and transparent. This enhanced adaptation tracking system will improve Yemen’s ability to report progress to the UNFCCC, making the NDC’s adaptation component more actionable and transparent.</w:t>
      </w:r>
    </w:p>
    <w:p w14:paraId="474F68A4"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hAnsiTheme="minorHAnsi" w:cstheme="minorHAnsi"/>
          <w:b/>
          <w:bCs/>
          <w:i/>
          <w:iCs/>
          <w:szCs w:val="20"/>
          <w:lang w:eastAsia="ja-JP"/>
        </w:rPr>
        <w:t>Strengthening the Climate Finance Strategy in the NDC</w:t>
      </w:r>
      <w:r w:rsidRPr="00AC0422">
        <w:rPr>
          <w:rFonts w:asciiTheme="minorHAnsi" w:hAnsiTheme="minorHAnsi" w:cstheme="minorHAnsi"/>
          <w:i/>
          <w:iCs/>
          <w:szCs w:val="20"/>
          <w:lang w:eastAsia="ja-JP"/>
        </w:rPr>
        <w:t>.</w:t>
      </w:r>
      <w:r w:rsidRPr="00AC0422">
        <w:rPr>
          <w:rFonts w:asciiTheme="minorHAnsi" w:hAnsiTheme="minorHAnsi" w:cstheme="minorHAnsi"/>
          <w:szCs w:val="20"/>
          <w:lang w:eastAsia="ja-JP"/>
        </w:rPr>
        <w:t xml:space="preserve"> The NAP will develop a cross-sectoral adaptation financing strategy, which will inform how the NDC identifies financial requirements for adaptation and mobilizes international climate finance. NAP Climate Finance Strategy (Output 3.4.3.1d) will identify funding needs, financing gaps, and investment priorities for adaptation, directly informing the NDC’s costing of adaptation measures. NAP Financial Working Group (Output 3.4.3.1): will coordinate with the Green Climate Fund (GCF), Adaptation Fund, and bilateral </w:t>
      </w:r>
      <w:r w:rsidRPr="00AC0422">
        <w:rPr>
          <w:rFonts w:asciiTheme="minorHAnsi" w:hAnsiTheme="minorHAnsi" w:cstheme="minorHAnsi"/>
          <w:szCs w:val="20"/>
          <w:lang w:eastAsia="ja-JP"/>
        </w:rPr>
        <w:lastRenderedPageBreak/>
        <w:t>donors to ensure that the NDC is aligned with available funding mechanisms. The NAP will develop at least two GCF Concept Notes (Output 3.4.2.1), providing ready-to-fund adaptation projects that can be included in the NDC’s investment strategy. By ensuring that the NDC adaptation component is linked to a clear financing strategy, Yemen will improve its ability to attract climate finance and implement its adaptation commitments.</w:t>
      </w:r>
    </w:p>
    <w:p w14:paraId="4C6E290E"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hAnsiTheme="minorHAnsi" w:cstheme="minorHAnsi"/>
          <w:b/>
          <w:bCs/>
          <w:i/>
          <w:iCs/>
          <w:szCs w:val="20"/>
          <w:lang w:eastAsia="ja-JP"/>
        </w:rPr>
        <w:t>Aligning NAP with NDC Reporting Requirements under the Paris Agreement</w:t>
      </w:r>
      <w:r w:rsidRPr="00AC0422">
        <w:rPr>
          <w:rFonts w:asciiTheme="minorHAnsi" w:hAnsiTheme="minorHAnsi" w:cstheme="minorHAnsi"/>
          <w:b/>
          <w:bCs/>
          <w:szCs w:val="20"/>
          <w:lang w:eastAsia="ja-JP"/>
        </w:rPr>
        <w:t>.</w:t>
      </w:r>
      <w:r w:rsidRPr="00AC0422">
        <w:rPr>
          <w:rFonts w:asciiTheme="minorHAnsi" w:hAnsiTheme="minorHAnsi" w:cstheme="minorHAnsi"/>
          <w:szCs w:val="20"/>
          <w:lang w:eastAsia="ja-JP"/>
        </w:rPr>
        <w:t xml:space="preserve"> The NDC must align with international climate commitments, particularly the Global Goal on Adaptation (GGA) under the Paris Agreement. The NAP will help frame Yemen’s adaptation priorities in a way that aligns with UNFCCC reporting guidelines. NAP Alignment with UNFCCC Guidelines will ensure that Yemen’s adaptation priorities follow UNFCCC’s Adaptation Communication guidelines, making the NDC adaptation component globally comparable. The NAP will contribute to Yemen’s Long-Term Strategy (LT-LEDS). The adaptation priorities defined in the NAP will also support Yemen’s long-term adaptation vision, ensuring alignment with LT-LEDS and national development goals. By ensuring alignment between the NAP process and international reporting frameworks, the NDC will be more robust, transparent, and eligible for international climate support.</w:t>
      </w:r>
    </w:p>
    <w:p w14:paraId="3929D0E2" w14:textId="77777777" w:rsidR="00B96700" w:rsidRPr="00AC0422" w:rsidRDefault="00B96700" w:rsidP="00B96700">
      <w:pPr>
        <w:keepNext/>
        <w:spacing w:after="120"/>
        <w:rPr>
          <w:rFonts w:asciiTheme="minorHAnsi" w:hAnsiTheme="minorHAnsi" w:cstheme="minorHAnsi"/>
          <w:szCs w:val="20"/>
          <w:lang w:eastAsia="ja-JP"/>
        </w:rPr>
      </w:pPr>
      <w:r w:rsidRPr="00AC0422">
        <w:rPr>
          <w:rFonts w:asciiTheme="minorHAnsi" w:hAnsiTheme="minorHAnsi" w:cstheme="minorHAnsi"/>
          <w:b/>
          <w:bCs/>
          <w:i/>
          <w:iCs/>
          <w:szCs w:val="20"/>
          <w:lang w:eastAsia="ja-JP"/>
        </w:rPr>
        <w:t>Ensuring Policy Coherence Between the NAP and NDC</w:t>
      </w:r>
      <w:r w:rsidRPr="00AC0422">
        <w:rPr>
          <w:rFonts w:asciiTheme="minorHAnsi" w:hAnsiTheme="minorHAnsi" w:cstheme="minorHAnsi"/>
          <w:b/>
          <w:bCs/>
          <w:szCs w:val="20"/>
          <w:lang w:eastAsia="ja-JP"/>
        </w:rPr>
        <w:t>.</w:t>
      </w:r>
      <w:r w:rsidRPr="00AC0422">
        <w:rPr>
          <w:rFonts w:asciiTheme="minorHAnsi" w:hAnsiTheme="minorHAnsi" w:cstheme="minorHAnsi"/>
          <w:szCs w:val="20"/>
          <w:lang w:eastAsia="ja-JP"/>
        </w:rPr>
        <w:t xml:space="preserve"> The NAP and NDC must be mutually reinforcing, with adaptation strategies in both documents supporting broader national climate policies. The NAP will harmonize adaptation priorities across water, agriculture, coastal, and health sectors (Output 3.1.1.1a), ensuring alignment with Yemen’s national climate policies. The NAP’s Technical Climate Coordination Committee (TCCC) (Output 3.1.3.1a) will ensure government ministries, CSOs, and international partners contribute to both NAP and NDC updates. Institutional strengthening will enhance capacity-building efforts (Output 3.1.4.1a), ensuring that key ministries are equipped to implement both NAP and NDC adaptation commitments. This policy coherence ensures that the NDC adaptation component is not standalone but embedded within Yemen’s broader climate resilience strategy.</w:t>
      </w:r>
    </w:p>
    <w:p w14:paraId="143F3CEE" w14:textId="77777777" w:rsidR="00B96700" w:rsidRPr="00AC0422" w:rsidRDefault="00B96700" w:rsidP="00B96700">
      <w:pPr>
        <w:keepNext/>
        <w:spacing w:after="120"/>
        <w:rPr>
          <w:rFonts w:asciiTheme="minorHAnsi" w:hAnsiTheme="minorHAnsi" w:cstheme="minorHAnsi"/>
          <w:i/>
          <w:szCs w:val="20"/>
          <w:u w:val="single"/>
          <w:lang w:eastAsia="ja-JP"/>
        </w:rPr>
      </w:pPr>
      <w:r w:rsidRPr="00AC0422">
        <w:rPr>
          <w:rFonts w:asciiTheme="minorHAnsi" w:hAnsiTheme="minorHAnsi" w:cstheme="minorHAnsi"/>
          <w:i/>
          <w:szCs w:val="20"/>
          <w:u w:val="single"/>
          <w:lang w:eastAsia="ja-JP"/>
        </w:rPr>
        <w:t>Activity 3.1.1.1b: Workshop to validate the draft NAP engaging all relevant stakeholders to secure the buy-in for the NAP process.</w:t>
      </w:r>
    </w:p>
    <w:p w14:paraId="59112D3B" w14:textId="77777777" w:rsidR="00B96700" w:rsidRPr="00AC0422" w:rsidRDefault="00B96700" w:rsidP="00B96700">
      <w:pPr>
        <w:keepNext/>
        <w:spacing w:after="120"/>
        <w:rPr>
          <w:rFonts w:asciiTheme="minorHAnsi" w:hAnsiTheme="minorHAnsi" w:cstheme="minorHAnsi"/>
          <w:szCs w:val="20"/>
          <w:lang w:val="en-GB" w:eastAsia="ja-JP"/>
        </w:rPr>
      </w:pPr>
      <w:r w:rsidRPr="00AC0422">
        <w:rPr>
          <w:rFonts w:asciiTheme="minorHAnsi" w:hAnsiTheme="minorHAnsi" w:cstheme="minorHAnsi"/>
          <w:szCs w:val="20"/>
          <w:lang w:eastAsia="ja-JP"/>
        </w:rPr>
        <w:t xml:space="preserve">A multi-stakeholder workshop will be organized to review, refine, and validate the draft NAP, bringing together representatives from government ministries, local authorities, civil society organizations, private sector actors, academia, M&amp;E experts, international development partners, and vulnerable communities to ensure the NAP reflects diverse perspectives and priorities. The primary goal is to secure broad-based stakeholder buy-in for the NAP process, enhancing ownership and commitment to its implementation.  </w:t>
      </w:r>
      <w:r w:rsidRPr="00AC0422">
        <w:rPr>
          <w:rFonts w:asciiTheme="minorHAnsi" w:hAnsiTheme="minorHAnsi" w:cstheme="minorHAnsi"/>
          <w:szCs w:val="20"/>
          <w:lang w:val="en-GB" w:eastAsia="en-GB"/>
        </w:rPr>
        <w:t>The workshop will share achievements, challenges, and lessons learned from the NAP process.</w:t>
      </w:r>
      <w:r w:rsidRPr="00AC0422">
        <w:rPr>
          <w:rFonts w:asciiTheme="minorHAnsi" w:hAnsiTheme="minorHAnsi" w:cstheme="minorHAnsi"/>
          <w:szCs w:val="20"/>
          <w:lang w:val="en-GB" w:eastAsia="ja-JP"/>
        </w:rPr>
        <w:t xml:space="preserve"> The workshop will culminate with formalization of stakeholder commitments, including agreement on a clear roadmap, and the roles and responsibilities for the NAP’s implementation and monitoring. A summary report of the workshop will be provided including key decisions and next steps. </w:t>
      </w:r>
    </w:p>
    <w:p w14:paraId="0301282C" w14:textId="77777777" w:rsidR="00B96700" w:rsidRPr="00AC0422" w:rsidRDefault="00B96700" w:rsidP="00B96700">
      <w:pPr>
        <w:keepNext/>
        <w:spacing w:after="120"/>
        <w:rPr>
          <w:rFonts w:asciiTheme="minorHAnsi" w:hAnsiTheme="minorHAnsi" w:cstheme="minorHAnsi"/>
          <w:b/>
          <w:bCs/>
          <w:i/>
          <w:iCs/>
          <w:szCs w:val="20"/>
          <w:u w:val="single"/>
          <w:lang w:eastAsia="ja-JP"/>
        </w:rPr>
      </w:pPr>
      <w:r w:rsidRPr="00AC0422">
        <w:rPr>
          <w:rFonts w:asciiTheme="minorHAnsi" w:hAnsiTheme="minorHAnsi" w:cstheme="minorHAnsi"/>
          <w:b/>
          <w:bCs/>
          <w:i/>
          <w:iCs/>
          <w:szCs w:val="20"/>
          <w:u w:val="single"/>
          <w:lang w:eastAsia="ja-JP"/>
        </w:rPr>
        <w:t>Activity 3.1.1.3: Develop 4 priority sectoral adaptation plans</w:t>
      </w:r>
    </w:p>
    <w:p w14:paraId="5E6EDD80" w14:textId="77777777" w:rsidR="00B96700" w:rsidRPr="00AC0422" w:rsidRDefault="00B96700" w:rsidP="00B96700">
      <w:pPr>
        <w:keepNext/>
        <w:spacing w:after="120"/>
        <w:rPr>
          <w:rFonts w:asciiTheme="minorHAnsi" w:hAnsiTheme="minorHAnsi" w:cstheme="minorHAnsi"/>
          <w:i/>
          <w:iCs/>
          <w:szCs w:val="20"/>
          <w:u w:val="single"/>
          <w:lang w:eastAsia="ja-JP"/>
        </w:rPr>
      </w:pPr>
      <w:r w:rsidRPr="00AC0422">
        <w:rPr>
          <w:rFonts w:asciiTheme="minorHAnsi" w:hAnsiTheme="minorHAnsi" w:cstheme="minorHAnsi"/>
          <w:i/>
          <w:iCs/>
          <w:szCs w:val="20"/>
          <w:u w:val="single"/>
          <w:lang w:eastAsia="ja-JP"/>
        </w:rPr>
        <w:t>Activity 3.1.1.3a:  Develop priority sectoral adaptation plans developed for water, agriculture, coastal zones and health sectors based on climate risk and vulnerability assessments (Activity 3.2.2.1).</w:t>
      </w:r>
    </w:p>
    <w:p w14:paraId="5E345636" w14:textId="77777777" w:rsidR="00B96700" w:rsidRPr="00AC0422" w:rsidRDefault="00B96700" w:rsidP="00B96700">
      <w:pPr>
        <w:keepNext/>
        <w:spacing w:after="120"/>
        <w:rPr>
          <w:rFonts w:asciiTheme="minorHAnsi" w:hAnsiTheme="minorHAnsi" w:cstheme="minorHAnsi"/>
          <w:szCs w:val="20"/>
          <w:lang w:val="en-GB" w:eastAsia="ja-JP"/>
        </w:rPr>
      </w:pPr>
      <w:r w:rsidRPr="00AC0422">
        <w:rPr>
          <w:rFonts w:asciiTheme="minorHAnsi" w:hAnsiTheme="minorHAnsi" w:cstheme="minorHAnsi"/>
          <w:szCs w:val="20"/>
          <w:lang w:val="en-GB" w:eastAsia="ja-JP"/>
        </w:rPr>
        <w:t>This activity will develop sectoral adaptation plans for water, agriculture, coastal zones, and health, addressing each sector's specific vulnerabilities to climate change. These plans will identify risks, create tailored strategies, and engage sector stakeholders, incorporating local expertise. They will include prioritized interventions, a financing strategy, and clear indicators to track progress. The plans will integrate climate risk and vulnerability data with local knowledge, focusing on water and agriculture due to data limitations. Sectoral consultation will be conducted through National Thematic Clusters to ensure diverse perspectives and priorities are reflected in the adaptation plans.</w:t>
      </w:r>
    </w:p>
    <w:p w14:paraId="18DC36E0" w14:textId="77777777" w:rsidR="00B96700" w:rsidRPr="00AC0422" w:rsidRDefault="00B96700" w:rsidP="00B96700">
      <w:pPr>
        <w:keepNext/>
        <w:spacing w:after="120"/>
        <w:rPr>
          <w:rFonts w:asciiTheme="minorHAnsi" w:hAnsiTheme="minorHAnsi" w:cstheme="minorHAnsi"/>
          <w:szCs w:val="20"/>
          <w:lang w:val="en-GB" w:eastAsia="ja-JP"/>
        </w:rPr>
      </w:pPr>
      <w:r w:rsidRPr="00AC0422">
        <w:rPr>
          <w:rFonts w:asciiTheme="minorHAnsi" w:hAnsiTheme="minorHAnsi" w:cstheme="minorHAnsi"/>
          <w:szCs w:val="20"/>
          <w:lang w:val="en-GB" w:eastAsia="ja-JP"/>
        </w:rPr>
        <w:t xml:space="preserve">Both the CRV and consultative assessments will use gender-sensitive and socially inclusive approaches (developed under Activity 3.1.1.3c) and will also take account of Yemen’s conflict context using the approaches and guidance on mainstreaming adaptation into humanitarian response and recovery to be developed under Activity 3.1.1.3b. The guidance documents on mainstreaming gender and social inclusion into climate adaptation and resilience programmes and plans (Activity 3.1.1.3c), the approach and guidance for mainstreaming climate change into </w:t>
      </w:r>
      <w:r w:rsidRPr="00AC0422">
        <w:rPr>
          <w:rFonts w:asciiTheme="minorHAnsi" w:hAnsiTheme="minorHAnsi" w:cstheme="minorHAnsi"/>
          <w:szCs w:val="20"/>
          <w:lang w:val="en-GB" w:eastAsia="ja-JP"/>
        </w:rPr>
        <w:lastRenderedPageBreak/>
        <w:t xml:space="preserve">humanitarian programmes and plans (Activity 3.1.1.3b), and the paper on conflict-sensitive approaches will be completed prior to the preparation of the sectoral plans and will fully inform the preparation of the plans.    </w:t>
      </w:r>
    </w:p>
    <w:p w14:paraId="5332005F" w14:textId="77777777" w:rsidR="00B96700" w:rsidRPr="00AC0422" w:rsidRDefault="00B96700" w:rsidP="00B96700">
      <w:pPr>
        <w:keepNext/>
        <w:spacing w:after="120"/>
        <w:rPr>
          <w:rFonts w:asciiTheme="minorHAnsi" w:hAnsiTheme="minorHAnsi" w:cstheme="minorHAnsi"/>
          <w:szCs w:val="20"/>
          <w:lang w:val="en-GB" w:eastAsia="ja-JP"/>
        </w:rPr>
      </w:pPr>
      <w:r w:rsidRPr="00AC0422">
        <w:rPr>
          <w:rFonts w:asciiTheme="minorHAnsi" w:hAnsiTheme="minorHAnsi" w:cstheme="minorHAnsi"/>
          <w:szCs w:val="20"/>
          <w:lang w:val="en-GB" w:eastAsia="ja-JP"/>
        </w:rPr>
        <w:t>The sectoral adaptation plans will include actionable recommendations for policy integration, financing strategies, and capacity-building initiatives (based on the Capacity Development Plan to be developed under Activity 3.1.4.1).</w:t>
      </w:r>
    </w:p>
    <w:p w14:paraId="404523EA" w14:textId="77777777" w:rsidR="00B96700" w:rsidRPr="00AC0422" w:rsidRDefault="00B96700" w:rsidP="00B96700">
      <w:pPr>
        <w:keepNext/>
        <w:spacing w:after="120"/>
        <w:rPr>
          <w:rFonts w:asciiTheme="minorHAnsi" w:hAnsiTheme="minorHAnsi" w:cstheme="minorHAnsi"/>
          <w:szCs w:val="20"/>
          <w:lang w:val="en-GB" w:eastAsia="ja-JP"/>
        </w:rPr>
      </w:pPr>
      <w:r w:rsidRPr="00AC0422">
        <w:rPr>
          <w:rFonts w:asciiTheme="minorHAnsi" w:hAnsiTheme="minorHAnsi" w:cstheme="minorHAnsi"/>
          <w:szCs w:val="20"/>
          <w:lang w:eastAsia="ja-JP"/>
        </w:rPr>
        <w:t>A systematic, evidence-based approach will guide the identification, appraisal, and prioritization of adaptation options for Yemen’s sectoral adaptation plans, ensuring they are climate risk-informed, gender-responsive, cost-effective, and conflict-sensitive. The process consists of five key phases:</w:t>
      </w:r>
    </w:p>
    <w:p w14:paraId="377F94F6" w14:textId="77777777" w:rsidR="00B96700" w:rsidRPr="00AC0422" w:rsidRDefault="00B96700" w:rsidP="005D2C02">
      <w:pPr>
        <w:pStyle w:val="NormalWeb"/>
        <w:numPr>
          <w:ilvl w:val="0"/>
          <w:numId w:val="74"/>
        </w:numPr>
        <w:jc w:val="left"/>
        <w:rPr>
          <w:rFonts w:asciiTheme="minorHAnsi" w:hAnsiTheme="minorHAnsi" w:cstheme="minorHAnsi"/>
          <w:sz w:val="20"/>
          <w:szCs w:val="20"/>
          <w:lang w:eastAsia="ja-JP"/>
        </w:rPr>
      </w:pPr>
      <w:r w:rsidRPr="00AC0422">
        <w:rPr>
          <w:rFonts w:asciiTheme="minorHAnsi" w:hAnsiTheme="minorHAnsi" w:cstheme="minorHAnsi"/>
          <w:b/>
          <w:bCs/>
          <w:sz w:val="20"/>
          <w:szCs w:val="20"/>
          <w:lang w:eastAsia="ja-JP"/>
        </w:rPr>
        <w:t>Identification of Adaptation Options</w:t>
      </w:r>
      <w:r w:rsidRPr="00AC0422">
        <w:rPr>
          <w:rFonts w:asciiTheme="minorHAnsi" w:hAnsiTheme="minorHAnsi" w:cstheme="minorHAnsi"/>
          <w:sz w:val="20"/>
          <w:szCs w:val="20"/>
          <w:lang w:eastAsia="ja-JP"/>
        </w:rPr>
        <w:t xml:space="preserve"> – Climate Risk and Vulnerability Assessments (CRVA) will use climate projections, hazard mapping, and stakeholder consultations to compile a preliminary list of adaptation measures, including ecosystem-based solutions, infrastructure interventions, policy reforms, and economic resilience strategies.</w:t>
      </w:r>
    </w:p>
    <w:p w14:paraId="348269C0" w14:textId="77777777" w:rsidR="00B96700" w:rsidRPr="00AC0422" w:rsidRDefault="00B96700" w:rsidP="005D2C02">
      <w:pPr>
        <w:pStyle w:val="NormalWeb"/>
        <w:numPr>
          <w:ilvl w:val="0"/>
          <w:numId w:val="74"/>
        </w:numPr>
        <w:jc w:val="left"/>
        <w:rPr>
          <w:rFonts w:asciiTheme="minorHAnsi" w:hAnsiTheme="minorHAnsi" w:cstheme="minorHAnsi"/>
          <w:sz w:val="20"/>
          <w:szCs w:val="20"/>
          <w:lang w:eastAsia="ja-JP"/>
        </w:rPr>
      </w:pPr>
      <w:r w:rsidRPr="00AC0422">
        <w:rPr>
          <w:rFonts w:asciiTheme="minorHAnsi" w:hAnsiTheme="minorHAnsi" w:cstheme="minorHAnsi"/>
          <w:b/>
          <w:bCs/>
          <w:sz w:val="20"/>
          <w:szCs w:val="20"/>
          <w:lang w:eastAsia="ja-JP"/>
        </w:rPr>
        <w:t>Appraisal of Adaptation Options</w:t>
      </w:r>
      <w:r w:rsidRPr="00AC0422">
        <w:rPr>
          <w:rFonts w:asciiTheme="minorHAnsi" w:hAnsiTheme="minorHAnsi" w:cstheme="minorHAnsi"/>
          <w:sz w:val="20"/>
          <w:szCs w:val="20"/>
          <w:lang w:eastAsia="ja-JP"/>
        </w:rPr>
        <w:t xml:space="preserve"> – A multi-criteria analysis (MCA) and cost-benefit analysis (CBA) will evaluate technical feasibility, economic viability, and environmental sustainability. Conflict-sensitivity screening and institutional assessments will ensure adaptation actions contribute to stability and are supported by governance structures.</w:t>
      </w:r>
    </w:p>
    <w:p w14:paraId="0A1FB010" w14:textId="77777777" w:rsidR="00B96700" w:rsidRPr="00AC0422" w:rsidRDefault="00B96700" w:rsidP="005D2C02">
      <w:pPr>
        <w:pStyle w:val="NormalWeb"/>
        <w:numPr>
          <w:ilvl w:val="0"/>
          <w:numId w:val="74"/>
        </w:numPr>
        <w:jc w:val="left"/>
        <w:rPr>
          <w:rFonts w:asciiTheme="minorHAnsi" w:hAnsiTheme="minorHAnsi" w:cstheme="minorHAnsi"/>
          <w:sz w:val="20"/>
          <w:szCs w:val="20"/>
          <w:lang w:eastAsia="ja-JP"/>
        </w:rPr>
      </w:pPr>
      <w:r w:rsidRPr="00AC0422">
        <w:rPr>
          <w:rFonts w:asciiTheme="minorHAnsi" w:hAnsiTheme="minorHAnsi" w:cstheme="minorHAnsi"/>
          <w:b/>
          <w:bCs/>
          <w:sz w:val="20"/>
          <w:szCs w:val="20"/>
          <w:lang w:eastAsia="ja-JP"/>
        </w:rPr>
        <w:t>Prioritization of Adaptation Options</w:t>
      </w:r>
      <w:r w:rsidRPr="00AC0422">
        <w:rPr>
          <w:rFonts w:asciiTheme="minorHAnsi" w:hAnsiTheme="minorHAnsi" w:cstheme="minorHAnsi"/>
          <w:sz w:val="20"/>
          <w:szCs w:val="20"/>
          <w:lang w:eastAsia="ja-JP"/>
        </w:rPr>
        <w:t xml:space="preserve"> – Adaptation measures will be ranked based on urgency, policy alignment, and cross-sectoral benefits. Stakeholder workshops will validate selected interventions, ensuring they reflect community needs and enhance coordination.</w:t>
      </w:r>
    </w:p>
    <w:p w14:paraId="7CB209F6" w14:textId="77777777" w:rsidR="00B96700" w:rsidRPr="00AC0422" w:rsidRDefault="00B96700" w:rsidP="005D2C02">
      <w:pPr>
        <w:pStyle w:val="NormalWeb"/>
        <w:numPr>
          <w:ilvl w:val="0"/>
          <w:numId w:val="74"/>
        </w:numPr>
        <w:jc w:val="left"/>
        <w:rPr>
          <w:rFonts w:asciiTheme="minorHAnsi" w:hAnsiTheme="minorHAnsi" w:cstheme="minorHAnsi"/>
          <w:sz w:val="20"/>
          <w:szCs w:val="20"/>
          <w:lang w:eastAsia="ja-JP"/>
        </w:rPr>
      </w:pPr>
      <w:r w:rsidRPr="00AC0422">
        <w:rPr>
          <w:rFonts w:asciiTheme="minorHAnsi" w:hAnsiTheme="minorHAnsi" w:cstheme="minorHAnsi"/>
          <w:b/>
          <w:bCs/>
          <w:sz w:val="20"/>
          <w:szCs w:val="20"/>
          <w:lang w:eastAsia="ja-JP"/>
        </w:rPr>
        <w:t>Integration into Sectoral and National Adaptation Plans</w:t>
      </w:r>
      <w:r w:rsidRPr="00AC0422">
        <w:rPr>
          <w:rFonts w:asciiTheme="minorHAnsi" w:hAnsiTheme="minorHAnsi" w:cstheme="minorHAnsi"/>
          <w:sz w:val="20"/>
          <w:szCs w:val="20"/>
          <w:lang w:eastAsia="ja-JP"/>
        </w:rPr>
        <w:t xml:space="preserve"> – Prioritized adaptation measures will be embedded within sectoral adaptation plans and integrated into the National Adaptation Plan (NAP), with defined timelines, responsible agencies, and financial mechanisms. The Technical Climate Coordination Committee (TCCC) will oversee cross-sectoral alignment.</w:t>
      </w:r>
    </w:p>
    <w:p w14:paraId="55350C64" w14:textId="77777777" w:rsidR="00B96700" w:rsidRPr="00AC0422" w:rsidRDefault="00B96700" w:rsidP="005D2C02">
      <w:pPr>
        <w:pStyle w:val="NormalWeb"/>
        <w:numPr>
          <w:ilvl w:val="0"/>
          <w:numId w:val="74"/>
        </w:numPr>
        <w:jc w:val="left"/>
        <w:rPr>
          <w:rFonts w:asciiTheme="minorHAnsi" w:hAnsiTheme="minorHAnsi" w:cstheme="minorHAnsi"/>
          <w:sz w:val="20"/>
          <w:szCs w:val="20"/>
          <w:lang w:eastAsia="ja-JP"/>
        </w:rPr>
      </w:pPr>
      <w:r w:rsidRPr="00AC0422">
        <w:rPr>
          <w:rFonts w:asciiTheme="minorHAnsi" w:hAnsiTheme="minorHAnsi" w:cstheme="minorHAnsi"/>
          <w:b/>
          <w:bCs/>
          <w:sz w:val="20"/>
          <w:szCs w:val="20"/>
          <w:lang w:eastAsia="ja-JP"/>
        </w:rPr>
        <w:t>Monitoring, Evaluation, and Adaptive Management</w:t>
      </w:r>
      <w:r w:rsidRPr="00AC0422">
        <w:rPr>
          <w:rFonts w:asciiTheme="minorHAnsi" w:hAnsiTheme="minorHAnsi" w:cstheme="minorHAnsi"/>
          <w:sz w:val="20"/>
          <w:szCs w:val="20"/>
          <w:lang w:eastAsia="ja-JP"/>
        </w:rPr>
        <w:t xml:space="preserve"> – Sector-specific indicators will track progress, effectiveness, and impact. The M&amp;E system, linked to the NAP portal, will enable continuous learning, periodic reviews, and adaptive management to refine adaptation strategies.</w:t>
      </w:r>
    </w:p>
    <w:p w14:paraId="6F293310" w14:textId="77777777" w:rsidR="00B96700" w:rsidRPr="00AC0422" w:rsidRDefault="00B96700" w:rsidP="00B96700">
      <w:pPr>
        <w:pStyle w:val="NormalWeb"/>
        <w:rPr>
          <w:rFonts w:asciiTheme="minorHAnsi" w:hAnsiTheme="minorHAnsi" w:cstheme="minorHAnsi"/>
        </w:rPr>
      </w:pPr>
      <w:r w:rsidRPr="00AC0422">
        <w:rPr>
          <w:rFonts w:asciiTheme="minorHAnsi" w:hAnsiTheme="minorHAnsi" w:cstheme="minorHAnsi"/>
          <w:sz w:val="20"/>
          <w:szCs w:val="20"/>
          <w:lang w:eastAsia="ja-JP"/>
        </w:rPr>
        <w:t>This structured approach will result in robust, evidence-based sectoral adaptation plans addressing climate risks in water, agriculture, coastal zones, and health. It will strengthen government capacity, improve coordination, enhance financial planning for adaptation investments, and facilitate the transition from planning to implementation. By integrating adaptation into national frameworks, Yemen will build long-term climate resilience while promoting socio-economic stability and sustainable development.</w:t>
      </w:r>
    </w:p>
    <w:p w14:paraId="1A98EBBE" w14:textId="77777777" w:rsidR="00B96700" w:rsidRPr="00AC0422" w:rsidRDefault="00B96700" w:rsidP="00B96700">
      <w:pPr>
        <w:keepNext/>
        <w:spacing w:after="120"/>
        <w:rPr>
          <w:rFonts w:asciiTheme="minorHAnsi" w:hAnsiTheme="minorHAnsi" w:cstheme="minorHAnsi"/>
          <w:i/>
          <w:szCs w:val="20"/>
          <w:u w:val="single"/>
          <w:lang w:eastAsia="ja-JP"/>
        </w:rPr>
      </w:pPr>
      <w:r w:rsidRPr="00AC0422">
        <w:rPr>
          <w:rFonts w:asciiTheme="minorHAnsi" w:hAnsiTheme="minorHAnsi" w:cstheme="minorHAnsi"/>
          <w:i/>
          <w:szCs w:val="20"/>
          <w:u w:val="single"/>
          <w:lang w:eastAsia="ja-JP"/>
        </w:rPr>
        <w:t xml:space="preserve">Activity 3.1.1.3b: Prepare an approach and guidance document to mainstream climate adaptation and resilience into humanitarian </w:t>
      </w:r>
      <w:proofErr w:type="spellStart"/>
      <w:r w:rsidRPr="00AC0422">
        <w:rPr>
          <w:rFonts w:asciiTheme="minorHAnsi" w:hAnsiTheme="minorHAnsi" w:cstheme="minorHAnsi"/>
          <w:i/>
          <w:szCs w:val="20"/>
          <w:u w:val="single"/>
          <w:lang w:eastAsia="ja-JP"/>
        </w:rPr>
        <w:t>programmes</w:t>
      </w:r>
      <w:proofErr w:type="spellEnd"/>
      <w:r w:rsidRPr="00AC0422">
        <w:rPr>
          <w:rFonts w:asciiTheme="minorHAnsi" w:hAnsiTheme="minorHAnsi" w:cstheme="minorHAnsi"/>
          <w:i/>
          <w:szCs w:val="20"/>
          <w:u w:val="single"/>
          <w:lang w:eastAsia="ja-JP"/>
        </w:rPr>
        <w:t xml:space="preserve"> and plans. </w:t>
      </w:r>
    </w:p>
    <w:p w14:paraId="7798A652"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This activity aims to integrate climate adaptation into Yemen's conflict and post-conflict context, addressing both immediate humanitarian needs and long-term resilience. It will analyze existing humanitarian frameworks to identify gaps and opportunities for embedding resilience. Through stakeholder consultations, context-specific guidance will be developed to integrate climate adaptation into humanitarian planning.</w:t>
      </w:r>
    </w:p>
    <w:p w14:paraId="363190E0"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Key approaches include developing an impact-based early warning system (EWS) using mobile technology and community radio, embedding climate risk and vulnerability assessments into humanitarian processes, promoting nature-based solutions, and designing resilient infrastructure. The project will also support adaptive livelihoods, particularly in rural, displaced, and drought-affected areas, and strengthen community involvement in local climate adaptation. Proposals combining humanitarian and adaptation needs, like climate-resilient shelters or water systems, will help link short-term relief efforts with long-term climate action.</w:t>
      </w:r>
    </w:p>
    <w:p w14:paraId="268FA93C"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 xml:space="preserve">Training will be provided to equip key stakeholders in the humanitarian and climate adaptation sectors with the necessary skills and tools to mainstream climate adaptation into humanitarian response and recovery efforts in Yemen. Given the country’s complex conflict and displacement context, the training will focus on integrating climate </w:t>
      </w:r>
      <w:r w:rsidRPr="00AC0422">
        <w:rPr>
          <w:rFonts w:asciiTheme="minorHAnsi" w:hAnsiTheme="minorHAnsi" w:cstheme="minorHAnsi"/>
          <w:sz w:val="20"/>
          <w:szCs w:val="20"/>
        </w:rPr>
        <w:lastRenderedPageBreak/>
        <w:t>risk reduction strategies into humanitarian planning, relief efforts, and resilience-building initiatives to ensure that emergency responses also contribute to long-term adaptation goals.</w:t>
      </w:r>
    </w:p>
    <w:p w14:paraId="705C1DB0" w14:textId="77777777" w:rsidR="00B96700" w:rsidRPr="00AC0422" w:rsidRDefault="00B96700" w:rsidP="00B96700">
      <w:pPr>
        <w:spacing w:after="160" w:line="259" w:lineRule="auto"/>
        <w:rPr>
          <w:rFonts w:asciiTheme="minorHAnsi" w:hAnsiTheme="minorHAnsi" w:cstheme="minorHAnsi"/>
          <w:i/>
          <w:iCs/>
          <w:szCs w:val="20"/>
          <w:lang w:val="en-GB" w:eastAsia="en-GB"/>
        </w:rPr>
      </w:pPr>
      <w:r w:rsidRPr="00AC0422">
        <w:rPr>
          <w:rFonts w:asciiTheme="minorHAnsi" w:hAnsiTheme="minorHAnsi" w:cstheme="minorHAnsi"/>
          <w:i/>
          <w:iCs/>
          <w:szCs w:val="20"/>
          <w:lang w:val="en-GB" w:eastAsia="en-GB"/>
        </w:rPr>
        <w:t xml:space="preserve">Table </w:t>
      </w:r>
      <w:r w:rsidRPr="00AC0422">
        <w:rPr>
          <w:rFonts w:asciiTheme="minorHAnsi" w:hAnsiTheme="minorHAnsi" w:cstheme="minorHAnsi"/>
          <w:i/>
          <w:iCs/>
          <w:szCs w:val="20"/>
          <w:lang w:val="en-GB" w:eastAsia="en-GB"/>
        </w:rPr>
        <w:fldChar w:fldCharType="begin"/>
      </w:r>
      <w:r w:rsidRPr="00AC0422">
        <w:rPr>
          <w:rFonts w:asciiTheme="minorHAnsi" w:hAnsiTheme="minorHAnsi" w:cstheme="minorHAnsi"/>
          <w:i/>
          <w:iCs/>
          <w:szCs w:val="20"/>
          <w:lang w:val="en-GB" w:eastAsia="en-GB"/>
        </w:rPr>
        <w:instrText xml:space="preserve"> SEQ Table \* ARABIC </w:instrText>
      </w:r>
      <w:r w:rsidRPr="00AC0422">
        <w:rPr>
          <w:rFonts w:asciiTheme="minorHAnsi" w:hAnsiTheme="minorHAnsi" w:cstheme="minorHAnsi"/>
          <w:i/>
          <w:iCs/>
          <w:szCs w:val="20"/>
          <w:lang w:val="en-GB" w:eastAsia="en-GB"/>
        </w:rPr>
        <w:fldChar w:fldCharType="separate"/>
      </w:r>
      <w:r w:rsidRPr="00AC0422">
        <w:rPr>
          <w:rFonts w:asciiTheme="minorHAnsi" w:hAnsiTheme="minorHAnsi" w:cstheme="minorHAnsi"/>
          <w:i/>
          <w:iCs/>
          <w:szCs w:val="20"/>
          <w:lang w:val="en-GB" w:eastAsia="en-GB"/>
        </w:rPr>
        <w:t>3</w:t>
      </w:r>
      <w:r w:rsidRPr="00AC0422">
        <w:rPr>
          <w:rFonts w:asciiTheme="minorHAnsi" w:hAnsiTheme="minorHAnsi" w:cstheme="minorHAnsi"/>
          <w:i/>
          <w:iCs/>
          <w:szCs w:val="20"/>
          <w:lang w:val="en-GB" w:eastAsia="en-GB"/>
        </w:rPr>
        <w:fldChar w:fldCharType="end"/>
      </w:r>
      <w:r w:rsidRPr="00AC0422">
        <w:rPr>
          <w:rFonts w:asciiTheme="minorHAnsi" w:hAnsiTheme="minorHAnsi" w:cstheme="minorHAnsi"/>
          <w:i/>
          <w:iCs/>
          <w:szCs w:val="20"/>
          <w:lang w:val="en-GB" w:eastAsia="en-GB"/>
        </w:rPr>
        <w:t>: Activity 3.1.1.3b Indicative training topics, number of participants and targeted stakeholders</w:t>
      </w:r>
    </w:p>
    <w:tbl>
      <w:tblPr>
        <w:tblW w:w="9937" w:type="dxa"/>
        <w:tblLayout w:type="fixed"/>
        <w:tblLook w:val="04A0" w:firstRow="1" w:lastRow="0" w:firstColumn="1" w:lastColumn="0" w:noHBand="0" w:noVBand="1"/>
      </w:tblPr>
      <w:tblGrid>
        <w:gridCol w:w="1667"/>
        <w:gridCol w:w="2859"/>
        <w:gridCol w:w="1560"/>
        <w:gridCol w:w="1275"/>
        <w:gridCol w:w="2576"/>
      </w:tblGrid>
      <w:tr w:rsidR="00B96700" w:rsidRPr="00AC0422" w14:paraId="24D3BD85" w14:textId="77777777" w:rsidTr="00391BF1">
        <w:trPr>
          <w:trHeight w:val="1053"/>
        </w:trPr>
        <w:tc>
          <w:tcPr>
            <w:tcW w:w="166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8EBE04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Training Session Title</w:t>
            </w:r>
          </w:p>
        </w:tc>
        <w:tc>
          <w:tcPr>
            <w:tcW w:w="2859" w:type="dxa"/>
            <w:tcBorders>
              <w:top w:val="single" w:sz="8" w:space="0" w:color="auto"/>
              <w:left w:val="nil"/>
              <w:bottom w:val="single" w:sz="4" w:space="0" w:color="auto"/>
              <w:right w:val="single" w:sz="4" w:space="0" w:color="auto"/>
            </w:tcBorders>
            <w:shd w:val="clear" w:color="auto" w:fill="auto"/>
            <w:vAlign w:val="center"/>
            <w:hideMark/>
          </w:tcPr>
          <w:p w14:paraId="2C08AB16"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Topics Covered</w:t>
            </w:r>
          </w:p>
        </w:tc>
        <w:tc>
          <w:tcPr>
            <w:tcW w:w="1560" w:type="dxa"/>
            <w:tcBorders>
              <w:top w:val="single" w:sz="8" w:space="0" w:color="auto"/>
              <w:left w:val="nil"/>
              <w:bottom w:val="single" w:sz="4" w:space="0" w:color="auto"/>
              <w:right w:val="single" w:sz="4" w:space="0" w:color="auto"/>
            </w:tcBorders>
            <w:shd w:val="clear" w:color="auto" w:fill="auto"/>
            <w:vAlign w:val="center"/>
            <w:hideMark/>
          </w:tcPr>
          <w:p w14:paraId="63983EE9"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Number of Participants (Gender Target: 40% Women, 60% Men)</w:t>
            </w:r>
          </w:p>
        </w:tc>
        <w:tc>
          <w:tcPr>
            <w:tcW w:w="1275" w:type="dxa"/>
            <w:tcBorders>
              <w:top w:val="single" w:sz="8" w:space="0" w:color="auto"/>
              <w:left w:val="nil"/>
              <w:bottom w:val="single" w:sz="4" w:space="0" w:color="auto"/>
              <w:right w:val="single" w:sz="4" w:space="0" w:color="auto"/>
            </w:tcBorders>
            <w:shd w:val="clear" w:color="auto" w:fill="auto"/>
            <w:vAlign w:val="center"/>
            <w:hideMark/>
          </w:tcPr>
          <w:p w14:paraId="62B25B44"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Length/</w:t>
            </w:r>
          </w:p>
          <w:p w14:paraId="6F642BBF"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Duration</w:t>
            </w:r>
          </w:p>
        </w:tc>
        <w:tc>
          <w:tcPr>
            <w:tcW w:w="2576" w:type="dxa"/>
            <w:tcBorders>
              <w:top w:val="single" w:sz="8" w:space="0" w:color="auto"/>
              <w:left w:val="nil"/>
              <w:bottom w:val="single" w:sz="4" w:space="0" w:color="auto"/>
              <w:right w:val="single" w:sz="8" w:space="0" w:color="auto"/>
            </w:tcBorders>
            <w:shd w:val="clear" w:color="auto" w:fill="auto"/>
            <w:vAlign w:val="center"/>
            <w:hideMark/>
          </w:tcPr>
          <w:p w14:paraId="70EF3BB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Targeted Stakeholders</w:t>
            </w:r>
          </w:p>
        </w:tc>
      </w:tr>
      <w:tr w:rsidR="00B96700" w:rsidRPr="00AC0422" w14:paraId="0B8840C7" w14:textId="77777777" w:rsidTr="00391BF1">
        <w:trPr>
          <w:trHeight w:val="1842"/>
        </w:trPr>
        <w:tc>
          <w:tcPr>
            <w:tcW w:w="1667" w:type="dxa"/>
            <w:tcBorders>
              <w:top w:val="nil"/>
              <w:left w:val="single" w:sz="8" w:space="0" w:color="auto"/>
              <w:bottom w:val="single" w:sz="4" w:space="0" w:color="auto"/>
              <w:right w:val="single" w:sz="4" w:space="0" w:color="auto"/>
            </w:tcBorders>
            <w:shd w:val="clear" w:color="auto" w:fill="auto"/>
            <w:vAlign w:val="center"/>
            <w:hideMark/>
          </w:tcPr>
          <w:p w14:paraId="6A1A548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Integrating Climate Adaptation into Humanitarian Planning and Response</w:t>
            </w:r>
          </w:p>
        </w:tc>
        <w:tc>
          <w:tcPr>
            <w:tcW w:w="2859" w:type="dxa"/>
            <w:tcBorders>
              <w:top w:val="nil"/>
              <w:left w:val="nil"/>
              <w:bottom w:val="single" w:sz="4" w:space="0" w:color="auto"/>
              <w:right w:val="single" w:sz="4" w:space="0" w:color="auto"/>
            </w:tcBorders>
            <w:shd w:val="clear" w:color="auto" w:fill="auto"/>
            <w:vAlign w:val="center"/>
            <w:hideMark/>
          </w:tcPr>
          <w:p w14:paraId="0F29CE9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Overview of Yemen’s humanitarian landscape and climate risks; Aligning humanitarian relief efforts with climate resilience strategies; Developing conflict-sensitive adaptation approaches for displaced communities; Linking climate adaptation with disaster risk reduction (DRR) frameworks.</w:t>
            </w:r>
          </w:p>
        </w:tc>
        <w:tc>
          <w:tcPr>
            <w:tcW w:w="1560" w:type="dxa"/>
            <w:tcBorders>
              <w:top w:val="nil"/>
              <w:left w:val="nil"/>
              <w:bottom w:val="single" w:sz="4" w:space="0" w:color="auto"/>
              <w:right w:val="single" w:sz="4" w:space="0" w:color="auto"/>
            </w:tcBorders>
            <w:shd w:val="clear" w:color="auto" w:fill="auto"/>
            <w:vAlign w:val="center"/>
            <w:hideMark/>
          </w:tcPr>
          <w:p w14:paraId="51E7EB0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40 participants (16 women, 24 men)</w:t>
            </w:r>
          </w:p>
        </w:tc>
        <w:tc>
          <w:tcPr>
            <w:tcW w:w="1275" w:type="dxa"/>
            <w:tcBorders>
              <w:top w:val="nil"/>
              <w:left w:val="nil"/>
              <w:bottom w:val="single" w:sz="4" w:space="0" w:color="auto"/>
              <w:right w:val="single" w:sz="4" w:space="0" w:color="auto"/>
            </w:tcBorders>
            <w:shd w:val="clear" w:color="auto" w:fill="auto"/>
            <w:vAlign w:val="center"/>
            <w:hideMark/>
          </w:tcPr>
          <w:p w14:paraId="493103E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576" w:type="dxa"/>
            <w:tcBorders>
              <w:top w:val="nil"/>
              <w:left w:val="nil"/>
              <w:bottom w:val="single" w:sz="4" w:space="0" w:color="auto"/>
              <w:right w:val="single" w:sz="8" w:space="0" w:color="auto"/>
            </w:tcBorders>
            <w:shd w:val="clear" w:color="auto" w:fill="auto"/>
            <w:vAlign w:val="center"/>
            <w:hideMark/>
          </w:tcPr>
          <w:p w14:paraId="7870696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Planning and International Cooperation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Ministry of Water and Environment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Ministry of Agriculture and Irrigation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Environment Protection Authority (EPA), Ministry of Health and Population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UNHCR, IOM, OCHA, humanitarian NGOs, local disaster management agencies.</w:t>
            </w:r>
          </w:p>
        </w:tc>
      </w:tr>
      <w:tr w:rsidR="00B96700" w:rsidRPr="00AC0422" w14:paraId="2FD1CEF0" w14:textId="77777777" w:rsidTr="00391BF1">
        <w:trPr>
          <w:trHeight w:val="1579"/>
        </w:trPr>
        <w:tc>
          <w:tcPr>
            <w:tcW w:w="1667" w:type="dxa"/>
            <w:tcBorders>
              <w:top w:val="nil"/>
              <w:left w:val="single" w:sz="8" w:space="0" w:color="auto"/>
              <w:bottom w:val="single" w:sz="4" w:space="0" w:color="auto"/>
              <w:right w:val="single" w:sz="4" w:space="0" w:color="auto"/>
            </w:tcBorders>
            <w:shd w:val="clear" w:color="auto" w:fill="auto"/>
            <w:vAlign w:val="center"/>
            <w:hideMark/>
          </w:tcPr>
          <w:p w14:paraId="0529DA2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Risk and Vulnerability Assessments in Humanitarian Programming</w:t>
            </w:r>
          </w:p>
        </w:tc>
        <w:tc>
          <w:tcPr>
            <w:tcW w:w="2859" w:type="dxa"/>
            <w:tcBorders>
              <w:top w:val="nil"/>
              <w:left w:val="nil"/>
              <w:bottom w:val="single" w:sz="4" w:space="0" w:color="auto"/>
              <w:right w:val="single" w:sz="4" w:space="0" w:color="auto"/>
            </w:tcBorders>
            <w:shd w:val="clear" w:color="auto" w:fill="auto"/>
            <w:vAlign w:val="center"/>
            <w:hideMark/>
          </w:tcPr>
          <w:p w14:paraId="31A2C51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Conducting climate risk assessments in conflict-affected and displacement-prone areas; Integrating risk assessments into humanitarian interventions (food security, water supply, health, and shelter); Tools for mapping vulnerability hotspots and forecasting humanitarian needs based on climate projections.</w:t>
            </w:r>
          </w:p>
        </w:tc>
        <w:tc>
          <w:tcPr>
            <w:tcW w:w="1560" w:type="dxa"/>
            <w:tcBorders>
              <w:top w:val="nil"/>
              <w:left w:val="nil"/>
              <w:bottom w:val="single" w:sz="4" w:space="0" w:color="auto"/>
              <w:right w:val="single" w:sz="4" w:space="0" w:color="auto"/>
            </w:tcBorders>
            <w:shd w:val="clear" w:color="auto" w:fill="auto"/>
            <w:vAlign w:val="center"/>
            <w:hideMark/>
          </w:tcPr>
          <w:p w14:paraId="4C6EC7C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35 participants (14 women, 21 men)</w:t>
            </w:r>
          </w:p>
        </w:tc>
        <w:tc>
          <w:tcPr>
            <w:tcW w:w="1275" w:type="dxa"/>
            <w:tcBorders>
              <w:top w:val="nil"/>
              <w:left w:val="nil"/>
              <w:bottom w:val="single" w:sz="4" w:space="0" w:color="auto"/>
              <w:right w:val="single" w:sz="4" w:space="0" w:color="auto"/>
            </w:tcBorders>
            <w:shd w:val="clear" w:color="auto" w:fill="auto"/>
            <w:vAlign w:val="center"/>
            <w:hideMark/>
          </w:tcPr>
          <w:p w14:paraId="50F4379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576" w:type="dxa"/>
            <w:tcBorders>
              <w:top w:val="nil"/>
              <w:left w:val="nil"/>
              <w:bottom w:val="single" w:sz="4" w:space="0" w:color="auto"/>
              <w:right w:val="single" w:sz="8" w:space="0" w:color="auto"/>
            </w:tcBorders>
            <w:shd w:val="clear" w:color="auto" w:fill="auto"/>
            <w:vAlign w:val="center"/>
            <w:hideMark/>
          </w:tcPr>
          <w:p w14:paraId="4405DBE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Government agencies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EPA,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UN agencies (UNDP, WFP, FAO, UNHCR), humanitarian NGOs, local adaptation project implementers, research institutions.</w:t>
            </w:r>
          </w:p>
        </w:tc>
      </w:tr>
      <w:tr w:rsidR="00B96700" w:rsidRPr="00AC0422" w14:paraId="683A1E1E" w14:textId="77777777" w:rsidTr="00391BF1">
        <w:trPr>
          <w:trHeight w:val="1579"/>
        </w:trPr>
        <w:tc>
          <w:tcPr>
            <w:tcW w:w="1667" w:type="dxa"/>
            <w:tcBorders>
              <w:top w:val="nil"/>
              <w:left w:val="single" w:sz="8" w:space="0" w:color="auto"/>
              <w:bottom w:val="single" w:sz="4" w:space="0" w:color="auto"/>
              <w:right w:val="single" w:sz="4" w:space="0" w:color="auto"/>
            </w:tcBorders>
            <w:shd w:val="clear" w:color="auto" w:fill="auto"/>
            <w:vAlign w:val="center"/>
            <w:hideMark/>
          </w:tcPr>
          <w:p w14:paraId="1EFC928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Climate-Resilient Humanitarian Interventions</w:t>
            </w:r>
          </w:p>
        </w:tc>
        <w:tc>
          <w:tcPr>
            <w:tcW w:w="2859" w:type="dxa"/>
            <w:tcBorders>
              <w:top w:val="nil"/>
              <w:left w:val="nil"/>
              <w:bottom w:val="single" w:sz="4" w:space="0" w:color="auto"/>
              <w:right w:val="single" w:sz="4" w:space="0" w:color="auto"/>
            </w:tcBorders>
            <w:shd w:val="clear" w:color="auto" w:fill="auto"/>
            <w:vAlign w:val="center"/>
            <w:hideMark/>
          </w:tcPr>
          <w:p w14:paraId="5A8CECA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Designing climate-resilient infrastructure in displacement settings; Early Warning Systems (EWS) and mobile technology for climate risk communication; Nature-based solutions for food security and water management in humanitarian contexts; Strengthening adaptive livelihoods for displaced and vulnerable populations.</w:t>
            </w:r>
          </w:p>
        </w:tc>
        <w:tc>
          <w:tcPr>
            <w:tcW w:w="1560" w:type="dxa"/>
            <w:tcBorders>
              <w:top w:val="nil"/>
              <w:left w:val="nil"/>
              <w:bottom w:val="single" w:sz="4" w:space="0" w:color="auto"/>
              <w:right w:val="single" w:sz="4" w:space="0" w:color="auto"/>
            </w:tcBorders>
            <w:shd w:val="clear" w:color="auto" w:fill="auto"/>
            <w:vAlign w:val="center"/>
            <w:hideMark/>
          </w:tcPr>
          <w:p w14:paraId="6B5F865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35 participants (14 women, 21 men)</w:t>
            </w:r>
          </w:p>
        </w:tc>
        <w:tc>
          <w:tcPr>
            <w:tcW w:w="1275" w:type="dxa"/>
            <w:tcBorders>
              <w:top w:val="nil"/>
              <w:left w:val="nil"/>
              <w:bottom w:val="single" w:sz="4" w:space="0" w:color="auto"/>
              <w:right w:val="single" w:sz="4" w:space="0" w:color="auto"/>
            </w:tcBorders>
            <w:shd w:val="clear" w:color="auto" w:fill="auto"/>
            <w:vAlign w:val="center"/>
            <w:hideMark/>
          </w:tcPr>
          <w:p w14:paraId="4AB11F2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576" w:type="dxa"/>
            <w:tcBorders>
              <w:top w:val="nil"/>
              <w:left w:val="nil"/>
              <w:bottom w:val="single" w:sz="4" w:space="0" w:color="auto"/>
              <w:right w:val="single" w:sz="8" w:space="0" w:color="auto"/>
            </w:tcBorders>
            <w:shd w:val="clear" w:color="auto" w:fill="auto"/>
            <w:vAlign w:val="center"/>
            <w:hideMark/>
          </w:tcPr>
          <w:p w14:paraId="0805F95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Local government officials, humanitarian organizations, engineering and planning departments, community-based organizations (CBOs), private sector actors involved in humanitarian logistics and infrastructure.</w:t>
            </w:r>
          </w:p>
        </w:tc>
      </w:tr>
      <w:tr w:rsidR="00B96700" w:rsidRPr="00AC0422" w14:paraId="77AC8381" w14:textId="77777777" w:rsidTr="00391BF1">
        <w:trPr>
          <w:trHeight w:val="1592"/>
        </w:trPr>
        <w:tc>
          <w:tcPr>
            <w:tcW w:w="1667" w:type="dxa"/>
            <w:tcBorders>
              <w:top w:val="nil"/>
              <w:left w:val="single" w:sz="8" w:space="0" w:color="auto"/>
              <w:bottom w:val="single" w:sz="8" w:space="0" w:color="auto"/>
              <w:right w:val="single" w:sz="4" w:space="0" w:color="auto"/>
            </w:tcBorders>
            <w:shd w:val="clear" w:color="auto" w:fill="auto"/>
            <w:vAlign w:val="center"/>
            <w:hideMark/>
          </w:tcPr>
          <w:p w14:paraId="18A25D9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Financing Climate Adaptation in Humanitarian Contexts</w:t>
            </w:r>
          </w:p>
        </w:tc>
        <w:tc>
          <w:tcPr>
            <w:tcW w:w="2859" w:type="dxa"/>
            <w:tcBorders>
              <w:top w:val="nil"/>
              <w:left w:val="nil"/>
              <w:bottom w:val="single" w:sz="8" w:space="0" w:color="auto"/>
              <w:right w:val="single" w:sz="4" w:space="0" w:color="auto"/>
            </w:tcBorders>
            <w:shd w:val="clear" w:color="auto" w:fill="auto"/>
            <w:vAlign w:val="center"/>
            <w:hideMark/>
          </w:tcPr>
          <w:p w14:paraId="27EDF50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Identifying funding opportunities for climate-resilient humanitarian projects; Developing integrated funding proposals for humanitarian-adaptation interventions; Engaging donors, the private sector, and international financial institutions in adaptation finance for conflict-affected areas.</w:t>
            </w:r>
          </w:p>
        </w:tc>
        <w:tc>
          <w:tcPr>
            <w:tcW w:w="1560" w:type="dxa"/>
            <w:tcBorders>
              <w:top w:val="nil"/>
              <w:left w:val="nil"/>
              <w:bottom w:val="single" w:sz="8" w:space="0" w:color="auto"/>
              <w:right w:val="single" w:sz="4" w:space="0" w:color="auto"/>
            </w:tcBorders>
            <w:shd w:val="clear" w:color="auto" w:fill="auto"/>
            <w:vAlign w:val="center"/>
            <w:hideMark/>
          </w:tcPr>
          <w:p w14:paraId="6EDEC33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1275" w:type="dxa"/>
            <w:tcBorders>
              <w:top w:val="nil"/>
              <w:left w:val="nil"/>
              <w:bottom w:val="single" w:sz="8" w:space="0" w:color="auto"/>
              <w:right w:val="single" w:sz="4" w:space="0" w:color="auto"/>
            </w:tcBorders>
            <w:shd w:val="clear" w:color="auto" w:fill="auto"/>
            <w:vAlign w:val="center"/>
            <w:hideMark/>
          </w:tcPr>
          <w:p w14:paraId="72F430D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576" w:type="dxa"/>
            <w:tcBorders>
              <w:top w:val="nil"/>
              <w:left w:val="nil"/>
              <w:bottom w:val="single" w:sz="8" w:space="0" w:color="auto"/>
              <w:right w:val="single" w:sz="8" w:space="0" w:color="auto"/>
            </w:tcBorders>
            <w:shd w:val="clear" w:color="auto" w:fill="auto"/>
            <w:vAlign w:val="center"/>
            <w:hideMark/>
          </w:tcPr>
          <w:p w14:paraId="1D022E07" w14:textId="77777777" w:rsidR="00B96700" w:rsidRPr="00AC0422" w:rsidRDefault="00B96700" w:rsidP="00391BF1">
            <w:pPr>
              <w:rPr>
                <w:rFonts w:asciiTheme="minorHAnsi" w:hAnsiTheme="minorHAnsi" w:cstheme="minorHAnsi"/>
                <w:color w:val="000000"/>
                <w:szCs w:val="20"/>
              </w:rPr>
            </w:pP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MoF,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humanitarian actors (UN agencies, INGOs), development finance institutions, local NGOs, private sector representatives.</w:t>
            </w:r>
          </w:p>
        </w:tc>
      </w:tr>
    </w:tbl>
    <w:p w14:paraId="303DD836" w14:textId="77777777" w:rsidR="00B96700" w:rsidRPr="00AC0422" w:rsidRDefault="00B96700" w:rsidP="00B96700">
      <w:pPr>
        <w:keepNext/>
        <w:spacing w:after="120"/>
        <w:rPr>
          <w:rFonts w:asciiTheme="minorHAnsi" w:hAnsiTheme="minorHAnsi" w:cstheme="minorHAnsi"/>
          <w:i/>
          <w:szCs w:val="20"/>
          <w:u w:val="single"/>
          <w:lang w:eastAsia="ja-JP"/>
        </w:rPr>
      </w:pPr>
      <w:bookmarkStart w:id="16" w:name="_Hlk189678914"/>
    </w:p>
    <w:p w14:paraId="4F9C5C1E" w14:textId="77777777" w:rsidR="00B96700" w:rsidRPr="00AC0422" w:rsidRDefault="00B96700" w:rsidP="00B96700">
      <w:pPr>
        <w:keepNext/>
        <w:spacing w:after="120"/>
        <w:rPr>
          <w:rFonts w:asciiTheme="minorHAnsi" w:hAnsiTheme="minorHAnsi" w:cstheme="minorHAnsi"/>
          <w:i/>
          <w:szCs w:val="20"/>
          <w:u w:val="single"/>
          <w:lang w:eastAsia="ja-JP"/>
        </w:rPr>
      </w:pPr>
      <w:r w:rsidRPr="00AC0422">
        <w:rPr>
          <w:rFonts w:asciiTheme="minorHAnsi" w:hAnsiTheme="minorHAnsi" w:cstheme="minorHAnsi"/>
          <w:i/>
          <w:szCs w:val="20"/>
          <w:u w:val="single"/>
          <w:lang w:eastAsia="ja-JP"/>
        </w:rPr>
        <w:t xml:space="preserve">Activity 3.1.1.3c: Prepare guidance document for mainstreaming gender and social inclusion into climate adaptation and resilience </w:t>
      </w:r>
      <w:proofErr w:type="spellStart"/>
      <w:r w:rsidRPr="00AC0422">
        <w:rPr>
          <w:rFonts w:asciiTheme="minorHAnsi" w:hAnsiTheme="minorHAnsi" w:cstheme="minorHAnsi"/>
          <w:i/>
          <w:szCs w:val="20"/>
          <w:u w:val="single"/>
          <w:lang w:eastAsia="ja-JP"/>
        </w:rPr>
        <w:t>programmes</w:t>
      </w:r>
      <w:proofErr w:type="spellEnd"/>
      <w:r w:rsidRPr="00AC0422">
        <w:rPr>
          <w:rFonts w:asciiTheme="minorHAnsi" w:hAnsiTheme="minorHAnsi" w:cstheme="minorHAnsi"/>
          <w:i/>
          <w:szCs w:val="20"/>
          <w:u w:val="single"/>
          <w:lang w:eastAsia="ja-JP"/>
        </w:rPr>
        <w:t xml:space="preserve"> and plans.</w:t>
      </w:r>
    </w:p>
    <w:p w14:paraId="3C86D632" w14:textId="77777777" w:rsidR="00B96700" w:rsidRPr="00AC0422" w:rsidRDefault="00B96700" w:rsidP="00B96700">
      <w:pPr>
        <w:autoSpaceDE w:val="0"/>
        <w:autoSpaceDN w:val="0"/>
        <w:adjustRightInd w:val="0"/>
        <w:spacing w:after="240"/>
        <w:rPr>
          <w:rFonts w:asciiTheme="minorHAnsi" w:hAnsiTheme="minorHAnsi" w:cstheme="minorHAnsi"/>
          <w:szCs w:val="20"/>
          <w:lang w:val="en-GB" w:eastAsia="ja-JP"/>
        </w:rPr>
      </w:pPr>
      <w:r w:rsidRPr="00AC0422">
        <w:rPr>
          <w:rFonts w:asciiTheme="minorHAnsi" w:hAnsiTheme="minorHAnsi" w:cstheme="minorHAnsi"/>
          <w:szCs w:val="20"/>
          <w:lang w:val="en-GB" w:eastAsia="ja-JP"/>
        </w:rPr>
        <w:t xml:space="preserve">This activity will conduct a GESI assessment to </w:t>
      </w:r>
      <w:proofErr w:type="spellStart"/>
      <w:r w:rsidRPr="00AC0422">
        <w:rPr>
          <w:rFonts w:asciiTheme="minorHAnsi" w:hAnsiTheme="minorHAnsi" w:cstheme="minorHAnsi"/>
          <w:szCs w:val="20"/>
          <w:lang w:val="en-GB" w:eastAsia="ja-JP"/>
        </w:rPr>
        <w:t>analyze</w:t>
      </w:r>
      <w:proofErr w:type="spellEnd"/>
      <w:r w:rsidRPr="00AC0422">
        <w:rPr>
          <w:rFonts w:asciiTheme="minorHAnsi" w:hAnsiTheme="minorHAnsi" w:cstheme="minorHAnsi"/>
          <w:szCs w:val="20"/>
          <w:lang w:val="en-GB" w:eastAsia="ja-JP"/>
        </w:rPr>
        <w:t xml:space="preserve"> the gendered impacts of climate change and adaptation barriers faced by women, youth, the elderly, ethnic minorities, and marginalized groups in Yemen. Using participatory methods, data will be collected to identify vulnerabilities and inform culturally sensitive, inclusive strategies.</w:t>
      </w:r>
    </w:p>
    <w:p w14:paraId="1BD41A34" w14:textId="77777777" w:rsidR="00B96700" w:rsidRPr="00AC0422" w:rsidRDefault="00B96700" w:rsidP="00B96700">
      <w:pPr>
        <w:autoSpaceDE w:val="0"/>
        <w:autoSpaceDN w:val="0"/>
        <w:adjustRightInd w:val="0"/>
        <w:spacing w:after="240"/>
        <w:rPr>
          <w:rFonts w:asciiTheme="minorHAnsi" w:hAnsiTheme="minorHAnsi" w:cstheme="minorHAnsi"/>
          <w:szCs w:val="20"/>
          <w:lang w:val="en-GB" w:eastAsia="ja-JP"/>
        </w:rPr>
      </w:pPr>
      <w:r w:rsidRPr="00AC0422">
        <w:rPr>
          <w:rFonts w:asciiTheme="minorHAnsi" w:hAnsiTheme="minorHAnsi" w:cstheme="minorHAnsi"/>
          <w:szCs w:val="20"/>
          <w:lang w:val="en-GB" w:eastAsia="ja-JP"/>
        </w:rPr>
        <w:t>A guidance document will be developed to promote gender and social inclusion in climate adaptation, emphasizing an intersectional approach to overlapping vulnerabilities, such as those faced by displaced women. Inclusive participation will be prioritized by involving marginalized groups, particularly in rural and conflict-affected areas, to ensure their voices shape adaptation strategies.</w:t>
      </w:r>
    </w:p>
    <w:p w14:paraId="32FDEECB" w14:textId="77777777" w:rsidR="00B96700" w:rsidRPr="00AC0422" w:rsidRDefault="00B96700" w:rsidP="00B96700">
      <w:pPr>
        <w:autoSpaceDE w:val="0"/>
        <w:autoSpaceDN w:val="0"/>
        <w:adjustRightInd w:val="0"/>
        <w:spacing w:after="240"/>
        <w:rPr>
          <w:rFonts w:asciiTheme="minorHAnsi" w:hAnsiTheme="minorHAnsi" w:cstheme="minorHAnsi"/>
          <w:szCs w:val="20"/>
          <w:lang w:val="en-GB" w:eastAsia="ja-JP"/>
        </w:rPr>
      </w:pPr>
      <w:bookmarkStart w:id="17" w:name="_Hlk189316814"/>
      <w:r w:rsidRPr="00AC0422">
        <w:rPr>
          <w:rFonts w:asciiTheme="minorHAnsi" w:hAnsiTheme="minorHAnsi" w:cstheme="minorHAnsi"/>
          <w:szCs w:val="20"/>
          <w:lang w:val="en-GB" w:eastAsia="ja-JP"/>
        </w:rPr>
        <w:t xml:space="preserve">Disaggregated data and participatory tools will be developed to inform planning, while gender-sensitive measures will be integrated into all stages. The guidance will be aligned with global frameworks such as the UNFCCC Gender Action Plan and SDGs, and will focus on equitable access to adaptation resources, removing barriers to distribution, and embedding gender-sensitive indicators in Monitoring and Evaluation systems to track progress and ensure accountability. Capacity building and awareness raising will be implemented for disparate target audiences through tailored training and awareness raising campaigns.  </w:t>
      </w:r>
      <w:bookmarkEnd w:id="17"/>
    </w:p>
    <w:p w14:paraId="52BEBA89" w14:textId="77777777" w:rsidR="00B96700" w:rsidRPr="00AC0422" w:rsidRDefault="00B96700" w:rsidP="00B96700">
      <w:pPr>
        <w:autoSpaceDE w:val="0"/>
        <w:autoSpaceDN w:val="0"/>
        <w:adjustRightInd w:val="0"/>
        <w:spacing w:after="240"/>
        <w:rPr>
          <w:rFonts w:asciiTheme="minorHAnsi" w:hAnsiTheme="minorHAnsi" w:cstheme="minorHAnsi"/>
          <w:szCs w:val="20"/>
          <w:lang w:val="en-GB" w:eastAsia="ja-JP"/>
        </w:rPr>
      </w:pPr>
      <w:r w:rsidRPr="00AC0422">
        <w:rPr>
          <w:rFonts w:asciiTheme="minorHAnsi" w:hAnsiTheme="minorHAnsi" w:cstheme="minorHAnsi"/>
          <w:szCs w:val="20"/>
          <w:lang w:val="en-GB" w:eastAsia="ja-JP"/>
        </w:rPr>
        <w:t>The Gender and Social Inclusion Guidance Document will serve as a key tool for integrating gender considerations into Yemen’s climate adaptation planning process. Given the country’s high gender inequality, social vulnerabilities, and climate-induced risks, the document will provide practical approaches to ensure equitable participation of women and vulnerable groups in climate adaptation decision-making.  It will support integration of gender-sensitive adaptation measures into key sectors, support gender-responsive budgeting in adaptation finance, and promote inclusive climate resilience strategies that address the differentiated impacts of climate change on men, women, youth, the elderly, and marginalized communities.</w:t>
      </w:r>
    </w:p>
    <w:bookmarkEnd w:id="16"/>
    <w:p w14:paraId="7A06FCF9" w14:textId="77777777" w:rsidR="00B96700" w:rsidRPr="00AC0422" w:rsidRDefault="00B96700" w:rsidP="00B96700">
      <w:pPr>
        <w:autoSpaceDE w:val="0"/>
        <w:autoSpaceDN w:val="0"/>
        <w:adjustRightInd w:val="0"/>
        <w:spacing w:after="240"/>
        <w:rPr>
          <w:rFonts w:asciiTheme="minorHAnsi" w:hAnsiTheme="minorHAnsi" w:cstheme="minorHAnsi"/>
          <w:szCs w:val="20"/>
          <w:lang w:val="en-GB" w:eastAsia="ja-JP"/>
        </w:rPr>
      </w:pPr>
      <w:r w:rsidRPr="00AC0422">
        <w:rPr>
          <w:rFonts w:asciiTheme="minorHAnsi" w:hAnsiTheme="minorHAnsi" w:cstheme="minorHAnsi"/>
          <w:szCs w:val="20"/>
          <w:lang w:val="en-GB" w:eastAsia="ja-JP"/>
        </w:rPr>
        <w:t xml:space="preserve">To effectively apply the Gender Mainstreaming Guidance Document, a comprehensive training and awareness-raising strategy will be developed. The following table summarises the training topics by target audience. </w:t>
      </w:r>
    </w:p>
    <w:p w14:paraId="7923C92D" w14:textId="77777777" w:rsidR="00B96700" w:rsidRPr="00AC0422" w:rsidRDefault="00B96700" w:rsidP="00B96700">
      <w:pPr>
        <w:pStyle w:val="Caption"/>
        <w:keepNext/>
        <w:rPr>
          <w:rFonts w:asciiTheme="minorHAnsi" w:hAnsiTheme="minorHAnsi" w:cstheme="minorHAnsi"/>
          <w:sz w:val="20"/>
          <w:szCs w:val="20"/>
          <w:u w:val="single"/>
          <w:lang w:eastAsia="ja-JP"/>
        </w:rPr>
      </w:pPr>
      <w:r w:rsidRPr="00AC0422">
        <w:rPr>
          <w:rFonts w:asciiTheme="minorHAnsi" w:hAnsiTheme="minorHAnsi" w:cstheme="minorHAnsi"/>
          <w:sz w:val="20"/>
          <w:szCs w:val="20"/>
          <w:u w:val="single"/>
          <w:lang w:eastAsia="ja-JP"/>
        </w:rPr>
        <w:t xml:space="preserve">Table </w:t>
      </w:r>
      <w:r w:rsidRPr="00AC0422">
        <w:rPr>
          <w:rFonts w:asciiTheme="minorHAnsi" w:hAnsiTheme="minorHAnsi" w:cstheme="minorHAnsi"/>
          <w:sz w:val="20"/>
          <w:szCs w:val="20"/>
          <w:u w:val="single"/>
          <w:lang w:eastAsia="ja-JP"/>
        </w:rPr>
        <w:fldChar w:fldCharType="begin"/>
      </w:r>
      <w:r w:rsidRPr="00AC0422">
        <w:rPr>
          <w:rFonts w:asciiTheme="minorHAnsi" w:hAnsiTheme="minorHAnsi" w:cstheme="minorHAnsi"/>
          <w:sz w:val="20"/>
          <w:szCs w:val="20"/>
          <w:u w:val="single"/>
          <w:lang w:eastAsia="ja-JP"/>
        </w:rPr>
        <w:instrText xml:space="preserve"> SEQ Table \* ARABIC </w:instrText>
      </w:r>
      <w:r w:rsidRPr="00AC0422">
        <w:rPr>
          <w:rFonts w:asciiTheme="minorHAnsi" w:hAnsiTheme="minorHAnsi" w:cstheme="minorHAnsi"/>
          <w:sz w:val="20"/>
          <w:szCs w:val="20"/>
          <w:u w:val="single"/>
          <w:lang w:eastAsia="ja-JP"/>
        </w:rPr>
        <w:fldChar w:fldCharType="separate"/>
      </w:r>
      <w:r w:rsidRPr="00AC0422">
        <w:rPr>
          <w:rFonts w:asciiTheme="minorHAnsi" w:hAnsiTheme="minorHAnsi" w:cstheme="minorHAnsi"/>
          <w:sz w:val="20"/>
          <w:szCs w:val="20"/>
          <w:u w:val="single"/>
          <w:lang w:eastAsia="ja-JP"/>
        </w:rPr>
        <w:t>4</w:t>
      </w:r>
      <w:r w:rsidRPr="00AC0422">
        <w:rPr>
          <w:rFonts w:asciiTheme="minorHAnsi" w:hAnsiTheme="minorHAnsi" w:cstheme="minorHAnsi"/>
          <w:sz w:val="20"/>
          <w:szCs w:val="20"/>
          <w:u w:val="single"/>
          <w:lang w:eastAsia="ja-JP"/>
        </w:rPr>
        <w:fldChar w:fldCharType="end"/>
      </w:r>
      <w:r w:rsidRPr="00AC0422">
        <w:rPr>
          <w:rFonts w:asciiTheme="minorHAnsi" w:hAnsiTheme="minorHAnsi" w:cstheme="minorHAnsi"/>
          <w:sz w:val="20"/>
          <w:szCs w:val="20"/>
          <w:u w:val="single"/>
          <w:lang w:eastAsia="ja-JP"/>
        </w:rPr>
        <w:t>: Activity 3.1.1.3c Indicative training topics, number of participants and targeted stakeholders</w:t>
      </w:r>
    </w:p>
    <w:tbl>
      <w:tblPr>
        <w:tblW w:w="9473" w:type="dxa"/>
        <w:tblLook w:val="04A0" w:firstRow="1" w:lastRow="0" w:firstColumn="1" w:lastColumn="0" w:noHBand="0" w:noVBand="1"/>
      </w:tblPr>
      <w:tblGrid>
        <w:gridCol w:w="1806"/>
        <w:gridCol w:w="2862"/>
        <w:gridCol w:w="1559"/>
        <w:gridCol w:w="979"/>
        <w:gridCol w:w="2267"/>
      </w:tblGrid>
      <w:tr w:rsidR="00B96700" w:rsidRPr="00AC0422" w14:paraId="4EAC8890" w14:textId="77777777" w:rsidTr="00391BF1">
        <w:trPr>
          <w:trHeight w:val="1086"/>
        </w:trPr>
        <w:tc>
          <w:tcPr>
            <w:tcW w:w="1806"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CE9B2C3"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Training Session Title</w:t>
            </w:r>
          </w:p>
        </w:tc>
        <w:tc>
          <w:tcPr>
            <w:tcW w:w="2862" w:type="dxa"/>
            <w:tcBorders>
              <w:top w:val="single" w:sz="8" w:space="0" w:color="auto"/>
              <w:left w:val="nil"/>
              <w:bottom w:val="single" w:sz="4" w:space="0" w:color="auto"/>
              <w:right w:val="single" w:sz="4" w:space="0" w:color="auto"/>
            </w:tcBorders>
            <w:shd w:val="clear" w:color="auto" w:fill="auto"/>
            <w:vAlign w:val="center"/>
            <w:hideMark/>
          </w:tcPr>
          <w:p w14:paraId="5C7BE6F0"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Topics Covered</w:t>
            </w:r>
          </w:p>
        </w:tc>
        <w:tc>
          <w:tcPr>
            <w:tcW w:w="1559" w:type="dxa"/>
            <w:tcBorders>
              <w:top w:val="single" w:sz="8" w:space="0" w:color="auto"/>
              <w:left w:val="nil"/>
              <w:bottom w:val="single" w:sz="4" w:space="0" w:color="auto"/>
              <w:right w:val="single" w:sz="4" w:space="0" w:color="auto"/>
            </w:tcBorders>
            <w:shd w:val="clear" w:color="auto" w:fill="auto"/>
            <w:vAlign w:val="center"/>
            <w:hideMark/>
          </w:tcPr>
          <w:p w14:paraId="18576805"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Number of Participants (Gender Target: 50% Women, 50% Men)</w:t>
            </w:r>
          </w:p>
        </w:tc>
        <w:tc>
          <w:tcPr>
            <w:tcW w:w="979" w:type="dxa"/>
            <w:tcBorders>
              <w:top w:val="single" w:sz="8" w:space="0" w:color="auto"/>
              <w:left w:val="nil"/>
              <w:bottom w:val="single" w:sz="4" w:space="0" w:color="auto"/>
              <w:right w:val="single" w:sz="4" w:space="0" w:color="auto"/>
            </w:tcBorders>
            <w:shd w:val="clear" w:color="auto" w:fill="auto"/>
            <w:vAlign w:val="center"/>
            <w:hideMark/>
          </w:tcPr>
          <w:p w14:paraId="6C3E51B1"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Length/</w:t>
            </w:r>
          </w:p>
          <w:p w14:paraId="2DD0F740"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Duration</w:t>
            </w:r>
          </w:p>
        </w:tc>
        <w:tc>
          <w:tcPr>
            <w:tcW w:w="2267" w:type="dxa"/>
            <w:tcBorders>
              <w:top w:val="single" w:sz="8" w:space="0" w:color="auto"/>
              <w:left w:val="nil"/>
              <w:bottom w:val="single" w:sz="4" w:space="0" w:color="auto"/>
              <w:right w:val="single" w:sz="8" w:space="0" w:color="auto"/>
            </w:tcBorders>
            <w:shd w:val="clear" w:color="auto" w:fill="auto"/>
            <w:vAlign w:val="center"/>
            <w:hideMark/>
          </w:tcPr>
          <w:p w14:paraId="44AA2725"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Targeted Stakeholders</w:t>
            </w:r>
          </w:p>
        </w:tc>
      </w:tr>
      <w:tr w:rsidR="00B96700" w:rsidRPr="00AC0422" w14:paraId="5FF64F5E" w14:textId="77777777" w:rsidTr="00391BF1">
        <w:trPr>
          <w:trHeight w:val="1900"/>
        </w:trPr>
        <w:tc>
          <w:tcPr>
            <w:tcW w:w="1806" w:type="dxa"/>
            <w:tcBorders>
              <w:top w:val="nil"/>
              <w:left w:val="single" w:sz="8" w:space="0" w:color="auto"/>
              <w:bottom w:val="single" w:sz="4" w:space="0" w:color="auto"/>
              <w:right w:val="single" w:sz="4" w:space="0" w:color="auto"/>
            </w:tcBorders>
            <w:shd w:val="clear" w:color="auto" w:fill="auto"/>
            <w:vAlign w:val="center"/>
            <w:hideMark/>
          </w:tcPr>
          <w:p w14:paraId="4BFFD92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Mainstreaming Gender and Social Inclusion (GESI) in Climate Adaptation Policies and National Planning</w:t>
            </w:r>
          </w:p>
        </w:tc>
        <w:tc>
          <w:tcPr>
            <w:tcW w:w="2862" w:type="dxa"/>
            <w:tcBorders>
              <w:top w:val="nil"/>
              <w:left w:val="nil"/>
              <w:bottom w:val="single" w:sz="4" w:space="0" w:color="auto"/>
              <w:right w:val="single" w:sz="4" w:space="0" w:color="auto"/>
            </w:tcBorders>
            <w:shd w:val="clear" w:color="auto" w:fill="auto"/>
            <w:vAlign w:val="center"/>
            <w:hideMark/>
          </w:tcPr>
          <w:p w14:paraId="313A62A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Overview of Yemen’s gender and social inclusion challenges in climate adaptation; Policy frameworks for gender integration (UNFCCC Gender Action Plan, SDGs); Institutionalizing gender-responsive budgeting in adaptation finance; Aligning sectoral adaptation plans (Water, Agriculture, Coastal Zones, Health) with gender-responsive adaptation policies.</w:t>
            </w:r>
          </w:p>
        </w:tc>
        <w:tc>
          <w:tcPr>
            <w:tcW w:w="1559" w:type="dxa"/>
            <w:tcBorders>
              <w:top w:val="nil"/>
              <w:left w:val="nil"/>
              <w:bottom w:val="single" w:sz="4" w:space="0" w:color="auto"/>
              <w:right w:val="single" w:sz="4" w:space="0" w:color="auto"/>
            </w:tcBorders>
            <w:shd w:val="clear" w:color="auto" w:fill="auto"/>
            <w:vAlign w:val="center"/>
            <w:hideMark/>
          </w:tcPr>
          <w:p w14:paraId="27E8082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40 participants (20 women, 20 men)</w:t>
            </w:r>
          </w:p>
        </w:tc>
        <w:tc>
          <w:tcPr>
            <w:tcW w:w="979" w:type="dxa"/>
            <w:tcBorders>
              <w:top w:val="nil"/>
              <w:left w:val="nil"/>
              <w:bottom w:val="single" w:sz="4" w:space="0" w:color="auto"/>
              <w:right w:val="single" w:sz="4" w:space="0" w:color="auto"/>
            </w:tcBorders>
            <w:shd w:val="clear" w:color="auto" w:fill="auto"/>
            <w:vAlign w:val="center"/>
            <w:hideMark/>
          </w:tcPr>
          <w:p w14:paraId="0B8C6A7A"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267" w:type="dxa"/>
            <w:tcBorders>
              <w:top w:val="nil"/>
              <w:left w:val="nil"/>
              <w:bottom w:val="single" w:sz="4" w:space="0" w:color="auto"/>
              <w:right w:val="single" w:sz="8" w:space="0" w:color="auto"/>
            </w:tcBorders>
            <w:shd w:val="clear" w:color="auto" w:fill="auto"/>
            <w:vAlign w:val="center"/>
            <w:hideMark/>
          </w:tcPr>
          <w:p w14:paraId="24DD7C4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Planning and International Cooperation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Ministry of Finance (MoF), Environment Protection Authority (EPA), Ministry of Water and Environment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Ministry of Agriculture and Irrigation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Ministry of Health and Population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Civil Aviation and Meteorology Authority (CAMA), gender focal points from sectoral ministries.</w:t>
            </w:r>
          </w:p>
        </w:tc>
      </w:tr>
      <w:tr w:rsidR="00B96700" w:rsidRPr="00AC0422" w14:paraId="6EB3F0AD" w14:textId="77777777" w:rsidTr="00391BF1">
        <w:trPr>
          <w:trHeight w:val="1357"/>
        </w:trPr>
        <w:tc>
          <w:tcPr>
            <w:tcW w:w="1806" w:type="dxa"/>
            <w:tcBorders>
              <w:top w:val="nil"/>
              <w:left w:val="single" w:sz="8" w:space="0" w:color="auto"/>
              <w:bottom w:val="single" w:sz="4" w:space="0" w:color="auto"/>
              <w:right w:val="single" w:sz="4" w:space="0" w:color="auto"/>
            </w:tcBorders>
            <w:shd w:val="clear" w:color="auto" w:fill="auto"/>
            <w:vAlign w:val="center"/>
            <w:hideMark/>
          </w:tcPr>
          <w:p w14:paraId="074FA83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Applying Gender and Social Inclusion Tools for Climate Risk Assessments and Project Design</w:t>
            </w:r>
          </w:p>
        </w:tc>
        <w:tc>
          <w:tcPr>
            <w:tcW w:w="2862" w:type="dxa"/>
            <w:tcBorders>
              <w:top w:val="nil"/>
              <w:left w:val="nil"/>
              <w:bottom w:val="single" w:sz="4" w:space="0" w:color="auto"/>
              <w:right w:val="single" w:sz="4" w:space="0" w:color="auto"/>
            </w:tcBorders>
            <w:shd w:val="clear" w:color="auto" w:fill="auto"/>
            <w:vAlign w:val="center"/>
            <w:hideMark/>
          </w:tcPr>
          <w:p w14:paraId="15F5CC8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Conducting gender-sensitive climate risk and vulnerability assessments; Using the Gender and Climate Risk Assessment Toolkit; Screening adaptation projects for gender inclusivity; Designing gender-responsive project interventions; Practical exercises on applying gender analysis tools in project planning.</w:t>
            </w:r>
          </w:p>
        </w:tc>
        <w:tc>
          <w:tcPr>
            <w:tcW w:w="1559" w:type="dxa"/>
            <w:tcBorders>
              <w:top w:val="nil"/>
              <w:left w:val="nil"/>
              <w:bottom w:val="single" w:sz="4" w:space="0" w:color="auto"/>
              <w:right w:val="single" w:sz="4" w:space="0" w:color="auto"/>
            </w:tcBorders>
            <w:shd w:val="clear" w:color="auto" w:fill="auto"/>
            <w:vAlign w:val="center"/>
            <w:hideMark/>
          </w:tcPr>
          <w:p w14:paraId="11B442D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35 participants (18 women, 17 men)</w:t>
            </w:r>
          </w:p>
        </w:tc>
        <w:tc>
          <w:tcPr>
            <w:tcW w:w="979" w:type="dxa"/>
            <w:tcBorders>
              <w:top w:val="nil"/>
              <w:left w:val="nil"/>
              <w:bottom w:val="single" w:sz="4" w:space="0" w:color="auto"/>
              <w:right w:val="single" w:sz="4" w:space="0" w:color="auto"/>
            </w:tcBorders>
            <w:shd w:val="clear" w:color="auto" w:fill="auto"/>
            <w:vAlign w:val="center"/>
            <w:hideMark/>
          </w:tcPr>
          <w:p w14:paraId="4B7600BC"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267" w:type="dxa"/>
            <w:tcBorders>
              <w:top w:val="nil"/>
              <w:left w:val="nil"/>
              <w:bottom w:val="single" w:sz="4" w:space="0" w:color="auto"/>
              <w:right w:val="single" w:sz="8" w:space="0" w:color="auto"/>
            </w:tcBorders>
            <w:shd w:val="clear" w:color="auto" w:fill="auto"/>
            <w:vAlign w:val="center"/>
            <w:hideMark/>
          </w:tcPr>
          <w:p w14:paraId="09070E1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National and local government agencies, sectoral ministries, NGOs, UN agencies, climate project developers, CSOs focusing on gender and social inclusion, local community representatives.</w:t>
            </w:r>
          </w:p>
        </w:tc>
      </w:tr>
      <w:tr w:rsidR="00B96700" w:rsidRPr="00AC0422" w14:paraId="0A06EC80" w14:textId="77777777" w:rsidTr="00391BF1">
        <w:trPr>
          <w:trHeight w:val="1629"/>
        </w:trPr>
        <w:tc>
          <w:tcPr>
            <w:tcW w:w="1806" w:type="dxa"/>
            <w:tcBorders>
              <w:top w:val="nil"/>
              <w:left w:val="single" w:sz="8" w:space="0" w:color="auto"/>
              <w:bottom w:val="single" w:sz="4" w:space="0" w:color="auto"/>
              <w:right w:val="single" w:sz="4" w:space="0" w:color="auto"/>
            </w:tcBorders>
            <w:shd w:val="clear" w:color="auto" w:fill="auto"/>
            <w:vAlign w:val="center"/>
            <w:hideMark/>
          </w:tcPr>
          <w:p w14:paraId="08250DC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Gender-Responsive Budgeting and Access to Climate Finance for Women and Vulnerable Groups</w:t>
            </w:r>
          </w:p>
        </w:tc>
        <w:tc>
          <w:tcPr>
            <w:tcW w:w="2862" w:type="dxa"/>
            <w:tcBorders>
              <w:top w:val="nil"/>
              <w:left w:val="nil"/>
              <w:bottom w:val="single" w:sz="4" w:space="0" w:color="auto"/>
              <w:right w:val="single" w:sz="4" w:space="0" w:color="auto"/>
            </w:tcBorders>
            <w:shd w:val="clear" w:color="auto" w:fill="auto"/>
            <w:vAlign w:val="center"/>
            <w:hideMark/>
          </w:tcPr>
          <w:p w14:paraId="108DE7D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Understanding the barriers to accessing climate finance for women and marginalized communities; Developing gender-responsive budgeting frameworks for adaptation; Introduction to the Gender-Responsive Budgeting Template; Strategies for integrating gender budgeting into sectoral and national adaptation finance mechanisms.</w:t>
            </w:r>
          </w:p>
        </w:tc>
        <w:tc>
          <w:tcPr>
            <w:tcW w:w="1559" w:type="dxa"/>
            <w:tcBorders>
              <w:top w:val="nil"/>
              <w:left w:val="nil"/>
              <w:bottom w:val="single" w:sz="4" w:space="0" w:color="auto"/>
              <w:right w:val="single" w:sz="4" w:space="0" w:color="auto"/>
            </w:tcBorders>
            <w:shd w:val="clear" w:color="auto" w:fill="auto"/>
            <w:vAlign w:val="center"/>
            <w:hideMark/>
          </w:tcPr>
          <w:p w14:paraId="2F04734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(15 women, 15 men)</w:t>
            </w:r>
          </w:p>
        </w:tc>
        <w:tc>
          <w:tcPr>
            <w:tcW w:w="979" w:type="dxa"/>
            <w:tcBorders>
              <w:top w:val="nil"/>
              <w:left w:val="nil"/>
              <w:bottom w:val="single" w:sz="4" w:space="0" w:color="auto"/>
              <w:right w:val="single" w:sz="4" w:space="0" w:color="auto"/>
            </w:tcBorders>
            <w:shd w:val="clear" w:color="auto" w:fill="auto"/>
            <w:vAlign w:val="center"/>
            <w:hideMark/>
          </w:tcPr>
          <w:p w14:paraId="58C67561"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267" w:type="dxa"/>
            <w:tcBorders>
              <w:top w:val="nil"/>
              <w:left w:val="nil"/>
              <w:bottom w:val="single" w:sz="4" w:space="0" w:color="auto"/>
              <w:right w:val="single" w:sz="8" w:space="0" w:color="auto"/>
            </w:tcBorders>
            <w:shd w:val="clear" w:color="auto" w:fill="auto"/>
            <w:vAlign w:val="center"/>
            <w:hideMark/>
          </w:tcPr>
          <w:p w14:paraId="5091F23D" w14:textId="77777777" w:rsidR="00B96700" w:rsidRPr="00AC0422" w:rsidRDefault="00B96700" w:rsidP="00391BF1">
            <w:pPr>
              <w:rPr>
                <w:rFonts w:asciiTheme="minorHAnsi" w:hAnsiTheme="minorHAnsi" w:cstheme="minorHAnsi"/>
                <w:color w:val="000000"/>
                <w:szCs w:val="20"/>
              </w:rPr>
            </w:pP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MoF,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EPA, UN agencies, development finance institutions, private sector representatives, local adaptation project implementers.</w:t>
            </w:r>
          </w:p>
        </w:tc>
      </w:tr>
      <w:tr w:rsidR="00B96700" w:rsidRPr="00AC0422" w14:paraId="23DF9963" w14:textId="77777777" w:rsidTr="00391BF1">
        <w:trPr>
          <w:trHeight w:val="1642"/>
        </w:trPr>
        <w:tc>
          <w:tcPr>
            <w:tcW w:w="1806" w:type="dxa"/>
            <w:tcBorders>
              <w:top w:val="nil"/>
              <w:left w:val="single" w:sz="8" w:space="0" w:color="auto"/>
              <w:bottom w:val="single" w:sz="8" w:space="0" w:color="auto"/>
              <w:right w:val="single" w:sz="4" w:space="0" w:color="auto"/>
            </w:tcBorders>
            <w:shd w:val="clear" w:color="auto" w:fill="auto"/>
            <w:vAlign w:val="center"/>
            <w:hideMark/>
          </w:tcPr>
          <w:p w14:paraId="46AB91E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Monitoring and Evaluation (M&amp;E) of Gender-Responsive Adaptation Interventions</w:t>
            </w:r>
          </w:p>
        </w:tc>
        <w:tc>
          <w:tcPr>
            <w:tcW w:w="2862" w:type="dxa"/>
            <w:tcBorders>
              <w:top w:val="nil"/>
              <w:left w:val="nil"/>
              <w:bottom w:val="single" w:sz="8" w:space="0" w:color="auto"/>
              <w:right w:val="single" w:sz="4" w:space="0" w:color="auto"/>
            </w:tcBorders>
            <w:shd w:val="clear" w:color="auto" w:fill="auto"/>
            <w:vAlign w:val="center"/>
            <w:hideMark/>
          </w:tcPr>
          <w:p w14:paraId="3F09865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Developing gender-disaggregated indicators for adaptation programs; Establishing gender-sensitive M&amp;E frameworks; Tracking adaptation outcomes through participatory engagement with women and marginalized groups; Integration of GESI indicators into the NAP M&amp;E system; Data collection and </w:t>
            </w:r>
            <w:r w:rsidRPr="00AC0422">
              <w:rPr>
                <w:rFonts w:asciiTheme="minorHAnsi" w:hAnsiTheme="minorHAnsi" w:cstheme="minorHAnsi"/>
                <w:color w:val="000000"/>
                <w:szCs w:val="20"/>
              </w:rPr>
              <w:lastRenderedPageBreak/>
              <w:t>reporting using gender-responsive methodologies.</w:t>
            </w:r>
          </w:p>
        </w:tc>
        <w:tc>
          <w:tcPr>
            <w:tcW w:w="1559" w:type="dxa"/>
            <w:tcBorders>
              <w:top w:val="nil"/>
              <w:left w:val="nil"/>
              <w:bottom w:val="single" w:sz="8" w:space="0" w:color="auto"/>
              <w:right w:val="single" w:sz="4" w:space="0" w:color="auto"/>
            </w:tcBorders>
            <w:shd w:val="clear" w:color="auto" w:fill="auto"/>
            <w:vAlign w:val="center"/>
            <w:hideMark/>
          </w:tcPr>
          <w:p w14:paraId="6B728FC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30 participants (15 women, 15 men)</w:t>
            </w:r>
          </w:p>
        </w:tc>
        <w:tc>
          <w:tcPr>
            <w:tcW w:w="979" w:type="dxa"/>
            <w:tcBorders>
              <w:top w:val="nil"/>
              <w:left w:val="nil"/>
              <w:bottom w:val="single" w:sz="8" w:space="0" w:color="auto"/>
              <w:right w:val="single" w:sz="4" w:space="0" w:color="auto"/>
            </w:tcBorders>
            <w:shd w:val="clear" w:color="auto" w:fill="auto"/>
            <w:vAlign w:val="center"/>
            <w:hideMark/>
          </w:tcPr>
          <w:p w14:paraId="250230D7"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267" w:type="dxa"/>
            <w:tcBorders>
              <w:top w:val="nil"/>
              <w:left w:val="nil"/>
              <w:bottom w:val="single" w:sz="8" w:space="0" w:color="auto"/>
              <w:right w:val="single" w:sz="8" w:space="0" w:color="auto"/>
            </w:tcBorders>
            <w:shd w:val="clear" w:color="auto" w:fill="auto"/>
            <w:vAlign w:val="center"/>
            <w:hideMark/>
          </w:tcPr>
          <w:p w14:paraId="60186B77" w14:textId="77777777" w:rsidR="00B96700" w:rsidRPr="00AC0422" w:rsidRDefault="00B96700" w:rsidP="00391BF1">
            <w:pPr>
              <w:rPr>
                <w:rFonts w:asciiTheme="minorHAnsi" w:hAnsiTheme="minorHAnsi" w:cstheme="minorHAnsi"/>
                <w:color w:val="000000"/>
                <w:szCs w:val="20"/>
              </w:rPr>
            </w:pP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xml:space="preserve">, EPA,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M&amp;E units in sectoral ministries, research institutions, UN agencies, NGOs and CSOs focused on gender equality and social inclusion.</w:t>
            </w:r>
          </w:p>
        </w:tc>
      </w:tr>
    </w:tbl>
    <w:p w14:paraId="540C26AF" w14:textId="77777777" w:rsidR="00B96700" w:rsidRPr="00AC0422" w:rsidRDefault="00B96700" w:rsidP="00B96700">
      <w:pPr>
        <w:autoSpaceDE w:val="0"/>
        <w:autoSpaceDN w:val="0"/>
        <w:adjustRightInd w:val="0"/>
        <w:spacing w:after="240"/>
        <w:rPr>
          <w:rFonts w:asciiTheme="minorHAnsi" w:hAnsiTheme="minorHAnsi" w:cstheme="minorHAnsi"/>
          <w:szCs w:val="20"/>
          <w:lang w:val="en-GB" w:eastAsia="ja-JP"/>
        </w:rPr>
      </w:pPr>
      <w:bookmarkStart w:id="18" w:name="_Hlk189569165"/>
    </w:p>
    <w:p w14:paraId="7134D87E" w14:textId="77777777" w:rsidR="00B96700" w:rsidRPr="00AC0422" w:rsidRDefault="00B96700" w:rsidP="00B96700">
      <w:pPr>
        <w:autoSpaceDE w:val="0"/>
        <w:autoSpaceDN w:val="0"/>
        <w:adjustRightInd w:val="0"/>
        <w:spacing w:after="240"/>
        <w:rPr>
          <w:rFonts w:asciiTheme="minorHAnsi" w:hAnsiTheme="minorHAnsi" w:cstheme="minorHAnsi"/>
          <w:i/>
          <w:iCs/>
          <w:szCs w:val="20"/>
          <w:u w:val="single"/>
        </w:rPr>
      </w:pPr>
      <w:r w:rsidRPr="00AC0422">
        <w:rPr>
          <w:rFonts w:asciiTheme="minorHAnsi" w:hAnsiTheme="minorHAnsi" w:cstheme="minorHAnsi"/>
          <w:i/>
          <w:iCs/>
          <w:szCs w:val="20"/>
          <w:u w:val="single"/>
          <w:lang w:val="en-GB" w:eastAsia="ja-JP"/>
        </w:rPr>
        <w:t xml:space="preserve">Activity 3.1.1.3d: </w:t>
      </w:r>
      <w:r w:rsidRPr="00AC0422">
        <w:rPr>
          <w:rFonts w:asciiTheme="minorHAnsi" w:hAnsiTheme="minorHAnsi" w:cstheme="minorHAnsi"/>
          <w:i/>
          <w:iCs/>
          <w:szCs w:val="20"/>
          <w:u w:val="single"/>
          <w:lang w:val="en-GB" w:eastAsia="en-GB"/>
        </w:rPr>
        <w:t>Prepare</w:t>
      </w:r>
      <w:r w:rsidRPr="00AC0422">
        <w:rPr>
          <w:rFonts w:asciiTheme="minorHAnsi" w:hAnsiTheme="minorHAnsi" w:cstheme="minorHAnsi"/>
          <w:i/>
          <w:iCs/>
          <w:u w:val="single"/>
        </w:rPr>
        <w:t xml:space="preserve"> </w:t>
      </w:r>
      <w:r w:rsidRPr="00AC0422">
        <w:rPr>
          <w:rFonts w:asciiTheme="minorHAnsi" w:hAnsiTheme="minorHAnsi" w:cstheme="minorHAnsi"/>
          <w:i/>
          <w:iCs/>
          <w:szCs w:val="20"/>
          <w:u w:val="single"/>
        </w:rPr>
        <w:t>a conflict-sensitive approach paper for Yemen’s adaptation planning</w:t>
      </w:r>
    </w:p>
    <w:p w14:paraId="13626093" w14:textId="77777777" w:rsidR="00B96700" w:rsidRPr="00AC0422" w:rsidRDefault="00B96700" w:rsidP="00B96700">
      <w:pPr>
        <w:autoSpaceDE w:val="0"/>
        <w:autoSpaceDN w:val="0"/>
        <w:adjustRightInd w:val="0"/>
        <w:spacing w:after="240"/>
        <w:rPr>
          <w:rFonts w:asciiTheme="minorHAnsi" w:hAnsiTheme="minorHAnsi" w:cstheme="minorHAnsi"/>
          <w:szCs w:val="20"/>
        </w:rPr>
      </w:pPr>
      <w:r w:rsidRPr="00AC0422">
        <w:rPr>
          <w:rFonts w:asciiTheme="minorHAnsi" w:hAnsiTheme="minorHAnsi" w:cstheme="minorHAnsi"/>
          <w:szCs w:val="20"/>
        </w:rPr>
        <w:t>This activity involves the development of an approach paper on conflict sensitivity specifically tailored to Yemen’s adaptation planning process. The paper will include stakeholder mapping to identify key actors in the adaptation landscape and assess their roles and perspectives, particularly in conflict-affected regions. It will also provide a comprehensive analysis of how conflict, crisis, and peacebuilding dynamics intersect with climate change impacts and adaptation efforts, highlighting the need for a more flexible, context-specific approach within Yemen’s NAP.</w:t>
      </w:r>
    </w:p>
    <w:p w14:paraId="401F9230"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The approach paper will outline how adaptation strategies should consider the complexities of the ongoing conflict and how these factors can affect resilience-building efforts. It will emphasize the need for adaptive, conflict-sensitive planning that integrates peacebuilding considerations into the NAP. Additionally, the paper will propose specific measures for enhancing stakeholder engagement, especially marginalized groups, and fostering collaboration between humanitarian, peacebuilding, and climate adaptation actors.</w:t>
      </w:r>
    </w:p>
    <w:p w14:paraId="16380A6A"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An expert specializing in conflict sensitivity will play a key role in this process and will be included as a member of the NAP drafting team. This expert will work closely with government representatives and other stakeholders to ensure that the approach paper aligns with Yemen's political, social, and economic realities while reflecting the best practices in conflict-sensitive climate adaptation planning.</w:t>
      </w:r>
    </w:p>
    <w:bookmarkEnd w:id="18"/>
    <w:p w14:paraId="7EF44937" w14:textId="77777777" w:rsidR="00B96700" w:rsidRPr="00AC0422" w:rsidRDefault="00B96700" w:rsidP="00B96700">
      <w:pPr>
        <w:rPr>
          <w:rFonts w:asciiTheme="minorHAnsi" w:hAnsiTheme="minorHAnsi" w:cstheme="minorHAnsi"/>
          <w:szCs w:val="20"/>
          <w:lang w:val="en-GB" w:eastAsia="en-GB"/>
        </w:rPr>
      </w:pPr>
      <w:r w:rsidRPr="00AC0422">
        <w:rPr>
          <w:rFonts w:asciiTheme="minorHAnsi" w:hAnsiTheme="minorHAnsi" w:cstheme="minorHAnsi"/>
          <w:szCs w:val="20"/>
          <w:lang w:val="en-GB" w:eastAsia="en-GB"/>
        </w:rPr>
        <w:t>Training will be conducted to equip stakeholders with the knowledge, tools, and methodologies necessary to apply conflict-sensitive approaches in adaptation planning. It will ensure that adaptation strategies consider the intersection of climate vulnerability, social tensions, and ongoing conflict dynamics, enabling the NAP process to contribute to both resilience-building and peacebuilding.</w:t>
      </w:r>
    </w:p>
    <w:p w14:paraId="7CA9B278" w14:textId="77777777" w:rsidR="00B96700" w:rsidRPr="00AC0422" w:rsidRDefault="00B96700" w:rsidP="00B96700">
      <w:pPr>
        <w:rPr>
          <w:rFonts w:asciiTheme="minorHAnsi" w:hAnsiTheme="minorHAnsi" w:cstheme="minorHAnsi"/>
          <w:szCs w:val="20"/>
          <w:lang w:val="en-GB" w:eastAsia="en-GB"/>
        </w:rPr>
      </w:pPr>
    </w:p>
    <w:p w14:paraId="1530B097"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noProof/>
          <w:sz w:val="20"/>
          <w:szCs w:val="20"/>
        </w:rPr>
        <w:t>5</w:t>
      </w:r>
      <w:r w:rsidRPr="00AC0422">
        <w:rPr>
          <w:rFonts w:asciiTheme="minorHAnsi" w:hAnsiTheme="minorHAnsi" w:cstheme="minorHAnsi"/>
          <w:noProof/>
          <w:sz w:val="20"/>
          <w:szCs w:val="20"/>
        </w:rPr>
        <w:fldChar w:fldCharType="end"/>
      </w:r>
      <w:r w:rsidRPr="00AC0422">
        <w:rPr>
          <w:rFonts w:asciiTheme="minorHAnsi" w:hAnsiTheme="minorHAnsi" w:cstheme="minorHAnsi"/>
          <w:sz w:val="20"/>
          <w:szCs w:val="20"/>
        </w:rPr>
        <w:t xml:space="preserve">: </w:t>
      </w:r>
      <w:r w:rsidRPr="00AC0422">
        <w:rPr>
          <w:rFonts w:asciiTheme="minorHAnsi" w:hAnsiTheme="minorHAnsi" w:cstheme="minorHAnsi"/>
          <w:sz w:val="20"/>
          <w:szCs w:val="20"/>
          <w:u w:val="single"/>
          <w:lang w:val="en-GB" w:eastAsia="ja-JP"/>
        </w:rPr>
        <w:t xml:space="preserve">Activity 3.1.1.3d: </w:t>
      </w:r>
      <w:r w:rsidRPr="00AC0422">
        <w:rPr>
          <w:rFonts w:asciiTheme="minorHAnsi" w:hAnsiTheme="minorHAnsi" w:cstheme="minorHAnsi"/>
          <w:sz w:val="20"/>
          <w:szCs w:val="20"/>
        </w:rPr>
        <w:t xml:space="preserve"> Indicative training topics, number of participants and targeted stakeholders</w:t>
      </w:r>
    </w:p>
    <w:tbl>
      <w:tblPr>
        <w:tblW w:w="9629" w:type="dxa"/>
        <w:tblLook w:val="04A0" w:firstRow="1" w:lastRow="0" w:firstColumn="1" w:lastColumn="0" w:noHBand="0" w:noVBand="1"/>
      </w:tblPr>
      <w:tblGrid>
        <w:gridCol w:w="1699"/>
        <w:gridCol w:w="2686"/>
        <w:gridCol w:w="1461"/>
        <w:gridCol w:w="953"/>
        <w:gridCol w:w="2830"/>
      </w:tblGrid>
      <w:tr w:rsidR="00B96700" w:rsidRPr="00AC0422" w14:paraId="6000A02A" w14:textId="77777777" w:rsidTr="00391BF1">
        <w:trPr>
          <w:trHeight w:val="1147"/>
        </w:trPr>
        <w:tc>
          <w:tcPr>
            <w:tcW w:w="169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7F3423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Training Session Title</w:t>
            </w:r>
          </w:p>
        </w:tc>
        <w:tc>
          <w:tcPr>
            <w:tcW w:w="2686" w:type="dxa"/>
            <w:tcBorders>
              <w:top w:val="single" w:sz="8" w:space="0" w:color="auto"/>
              <w:left w:val="nil"/>
              <w:bottom w:val="single" w:sz="4" w:space="0" w:color="auto"/>
              <w:right w:val="single" w:sz="4" w:space="0" w:color="auto"/>
            </w:tcBorders>
            <w:shd w:val="clear" w:color="auto" w:fill="auto"/>
            <w:vAlign w:val="center"/>
            <w:hideMark/>
          </w:tcPr>
          <w:p w14:paraId="1A40C62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Topics Covered</w:t>
            </w:r>
          </w:p>
        </w:tc>
        <w:tc>
          <w:tcPr>
            <w:tcW w:w="1461" w:type="dxa"/>
            <w:tcBorders>
              <w:top w:val="single" w:sz="8" w:space="0" w:color="auto"/>
              <w:left w:val="nil"/>
              <w:bottom w:val="single" w:sz="4" w:space="0" w:color="auto"/>
              <w:right w:val="single" w:sz="4" w:space="0" w:color="auto"/>
            </w:tcBorders>
            <w:shd w:val="clear" w:color="auto" w:fill="auto"/>
            <w:vAlign w:val="center"/>
            <w:hideMark/>
          </w:tcPr>
          <w:p w14:paraId="41FF5FAC"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Number of Participants (Gender Target: 40% Women, 60% Men)</w:t>
            </w:r>
          </w:p>
        </w:tc>
        <w:tc>
          <w:tcPr>
            <w:tcW w:w="953" w:type="dxa"/>
            <w:tcBorders>
              <w:top w:val="single" w:sz="8" w:space="0" w:color="auto"/>
              <w:left w:val="nil"/>
              <w:bottom w:val="single" w:sz="4" w:space="0" w:color="auto"/>
              <w:right w:val="single" w:sz="4" w:space="0" w:color="auto"/>
            </w:tcBorders>
            <w:shd w:val="clear" w:color="auto" w:fill="auto"/>
            <w:vAlign w:val="center"/>
            <w:hideMark/>
          </w:tcPr>
          <w:p w14:paraId="7D063394"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Length/</w:t>
            </w:r>
          </w:p>
          <w:p w14:paraId="71F5BCC2"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Duration</w:t>
            </w:r>
          </w:p>
        </w:tc>
        <w:tc>
          <w:tcPr>
            <w:tcW w:w="2830" w:type="dxa"/>
            <w:tcBorders>
              <w:top w:val="single" w:sz="8" w:space="0" w:color="auto"/>
              <w:left w:val="nil"/>
              <w:bottom w:val="single" w:sz="4" w:space="0" w:color="auto"/>
              <w:right w:val="single" w:sz="8" w:space="0" w:color="auto"/>
            </w:tcBorders>
            <w:shd w:val="clear" w:color="auto" w:fill="auto"/>
            <w:vAlign w:val="center"/>
            <w:hideMark/>
          </w:tcPr>
          <w:p w14:paraId="7B575263"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Targeted Stakeholders</w:t>
            </w:r>
          </w:p>
        </w:tc>
      </w:tr>
      <w:tr w:rsidR="00B96700" w:rsidRPr="00AC0422" w14:paraId="50C2DF5A" w14:textId="77777777" w:rsidTr="00391BF1">
        <w:trPr>
          <w:trHeight w:val="2007"/>
        </w:trPr>
        <w:tc>
          <w:tcPr>
            <w:tcW w:w="1699" w:type="dxa"/>
            <w:tcBorders>
              <w:top w:val="nil"/>
              <w:left w:val="single" w:sz="8" w:space="0" w:color="auto"/>
              <w:bottom w:val="single" w:sz="4" w:space="0" w:color="auto"/>
              <w:right w:val="single" w:sz="4" w:space="0" w:color="auto"/>
            </w:tcBorders>
            <w:shd w:val="clear" w:color="auto" w:fill="auto"/>
            <w:vAlign w:val="center"/>
            <w:hideMark/>
          </w:tcPr>
          <w:p w14:paraId="130D635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Understanding the Intersection of Climate Change, Conflict, and Adaptation in Yemen</w:t>
            </w:r>
          </w:p>
        </w:tc>
        <w:tc>
          <w:tcPr>
            <w:tcW w:w="2686" w:type="dxa"/>
            <w:tcBorders>
              <w:top w:val="nil"/>
              <w:left w:val="nil"/>
              <w:bottom w:val="single" w:sz="4" w:space="0" w:color="auto"/>
              <w:right w:val="single" w:sz="4" w:space="0" w:color="auto"/>
            </w:tcBorders>
            <w:shd w:val="clear" w:color="auto" w:fill="auto"/>
            <w:vAlign w:val="center"/>
            <w:hideMark/>
          </w:tcPr>
          <w:p w14:paraId="03A9ED8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Overview of Yemen’s conflict landscape and its implications for climate adaptation; How climate change exacerbates social tensions and displacement; Integrating conflict-sensitive principles into climate adaptation planning.</w:t>
            </w:r>
          </w:p>
        </w:tc>
        <w:tc>
          <w:tcPr>
            <w:tcW w:w="1461" w:type="dxa"/>
            <w:tcBorders>
              <w:top w:val="nil"/>
              <w:left w:val="nil"/>
              <w:bottom w:val="single" w:sz="4" w:space="0" w:color="auto"/>
              <w:right w:val="single" w:sz="4" w:space="0" w:color="auto"/>
            </w:tcBorders>
            <w:shd w:val="clear" w:color="auto" w:fill="auto"/>
            <w:vAlign w:val="center"/>
            <w:hideMark/>
          </w:tcPr>
          <w:p w14:paraId="29095E5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40 participants (16 women, 24 men)</w:t>
            </w:r>
          </w:p>
        </w:tc>
        <w:tc>
          <w:tcPr>
            <w:tcW w:w="953" w:type="dxa"/>
            <w:tcBorders>
              <w:top w:val="nil"/>
              <w:left w:val="nil"/>
              <w:bottom w:val="single" w:sz="4" w:space="0" w:color="auto"/>
              <w:right w:val="single" w:sz="4" w:space="0" w:color="auto"/>
            </w:tcBorders>
            <w:shd w:val="clear" w:color="auto" w:fill="auto"/>
            <w:vAlign w:val="center"/>
            <w:hideMark/>
          </w:tcPr>
          <w:p w14:paraId="6774AF0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830" w:type="dxa"/>
            <w:tcBorders>
              <w:top w:val="nil"/>
              <w:left w:val="nil"/>
              <w:bottom w:val="single" w:sz="4" w:space="0" w:color="auto"/>
              <w:right w:val="single" w:sz="8" w:space="0" w:color="auto"/>
            </w:tcBorders>
            <w:shd w:val="clear" w:color="auto" w:fill="auto"/>
            <w:vAlign w:val="center"/>
            <w:hideMark/>
          </w:tcPr>
          <w:p w14:paraId="026AA83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Planning and International Cooperation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Ministry of Water and Environment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Environment Protection Authority (EPA), Ministry of Agriculture and Irrigation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Ministry of Health and Population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xml:space="preserve">), Civil Aviation and Meteorology </w:t>
            </w:r>
            <w:r w:rsidRPr="00AC0422">
              <w:rPr>
                <w:rFonts w:asciiTheme="minorHAnsi" w:hAnsiTheme="minorHAnsi" w:cstheme="minorHAnsi"/>
                <w:color w:val="000000"/>
                <w:szCs w:val="20"/>
              </w:rPr>
              <w:lastRenderedPageBreak/>
              <w:t>Authority (CAMA), local government officials, humanitarian organizations.</w:t>
            </w:r>
          </w:p>
        </w:tc>
      </w:tr>
      <w:tr w:rsidR="00B96700" w:rsidRPr="00AC0422" w14:paraId="6A22B56B" w14:textId="77777777" w:rsidTr="00391BF1">
        <w:trPr>
          <w:trHeight w:val="1147"/>
        </w:trPr>
        <w:tc>
          <w:tcPr>
            <w:tcW w:w="1699" w:type="dxa"/>
            <w:tcBorders>
              <w:top w:val="nil"/>
              <w:left w:val="single" w:sz="8" w:space="0" w:color="auto"/>
              <w:bottom w:val="single" w:sz="4" w:space="0" w:color="auto"/>
              <w:right w:val="single" w:sz="4" w:space="0" w:color="auto"/>
            </w:tcBorders>
            <w:shd w:val="clear" w:color="auto" w:fill="auto"/>
            <w:vAlign w:val="center"/>
            <w:hideMark/>
          </w:tcPr>
          <w:p w14:paraId="5EFF561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Conflict-Sensitive Climate Risk and Vulnerability Assessments</w:t>
            </w:r>
          </w:p>
        </w:tc>
        <w:tc>
          <w:tcPr>
            <w:tcW w:w="2686" w:type="dxa"/>
            <w:tcBorders>
              <w:top w:val="nil"/>
              <w:left w:val="nil"/>
              <w:bottom w:val="single" w:sz="4" w:space="0" w:color="auto"/>
              <w:right w:val="single" w:sz="4" w:space="0" w:color="auto"/>
            </w:tcBorders>
            <w:shd w:val="clear" w:color="auto" w:fill="auto"/>
            <w:vAlign w:val="center"/>
            <w:hideMark/>
          </w:tcPr>
          <w:p w14:paraId="04968B6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Conducting climate risk assessments in fragile and conflict-affected areas; Identifying conflict risks in adaptation interventions; Tools for integrating conflict sensitivity into climate vulnerability assessments.</w:t>
            </w:r>
          </w:p>
        </w:tc>
        <w:tc>
          <w:tcPr>
            <w:tcW w:w="1461" w:type="dxa"/>
            <w:tcBorders>
              <w:top w:val="nil"/>
              <w:left w:val="nil"/>
              <w:bottom w:val="single" w:sz="4" w:space="0" w:color="auto"/>
              <w:right w:val="single" w:sz="4" w:space="0" w:color="auto"/>
            </w:tcBorders>
            <w:shd w:val="clear" w:color="auto" w:fill="auto"/>
            <w:vAlign w:val="center"/>
            <w:hideMark/>
          </w:tcPr>
          <w:p w14:paraId="1E6E6FC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35 participants (14 women, 21 men)</w:t>
            </w:r>
          </w:p>
        </w:tc>
        <w:tc>
          <w:tcPr>
            <w:tcW w:w="953" w:type="dxa"/>
            <w:tcBorders>
              <w:top w:val="nil"/>
              <w:left w:val="nil"/>
              <w:bottom w:val="single" w:sz="4" w:space="0" w:color="auto"/>
              <w:right w:val="single" w:sz="4" w:space="0" w:color="auto"/>
            </w:tcBorders>
            <w:shd w:val="clear" w:color="auto" w:fill="auto"/>
            <w:vAlign w:val="center"/>
            <w:hideMark/>
          </w:tcPr>
          <w:p w14:paraId="0DC2966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830" w:type="dxa"/>
            <w:tcBorders>
              <w:top w:val="nil"/>
              <w:left w:val="nil"/>
              <w:bottom w:val="single" w:sz="4" w:space="0" w:color="auto"/>
              <w:right w:val="single" w:sz="8" w:space="0" w:color="auto"/>
            </w:tcBorders>
            <w:shd w:val="clear" w:color="auto" w:fill="auto"/>
            <w:vAlign w:val="center"/>
            <w:hideMark/>
          </w:tcPr>
          <w:p w14:paraId="7D1001D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Government agencies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EPA,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humanitarian actors (UNHCR, IOM, OCHA, INGOs), local CSOs, peacebuilding organizations, local adaptation project implementers.</w:t>
            </w:r>
          </w:p>
        </w:tc>
      </w:tr>
      <w:tr w:rsidR="00B96700" w:rsidRPr="00AC0422" w14:paraId="2ADB426D" w14:textId="77777777" w:rsidTr="00391BF1">
        <w:trPr>
          <w:trHeight w:val="1147"/>
        </w:trPr>
        <w:tc>
          <w:tcPr>
            <w:tcW w:w="1699" w:type="dxa"/>
            <w:tcBorders>
              <w:top w:val="nil"/>
              <w:left w:val="single" w:sz="8" w:space="0" w:color="auto"/>
              <w:bottom w:val="single" w:sz="4" w:space="0" w:color="auto"/>
              <w:right w:val="single" w:sz="4" w:space="0" w:color="auto"/>
            </w:tcBorders>
            <w:shd w:val="clear" w:color="auto" w:fill="auto"/>
            <w:vAlign w:val="center"/>
            <w:hideMark/>
          </w:tcPr>
          <w:p w14:paraId="5096CBD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Stakeholder Engagement and Participatory Planning in Conflict Zones</w:t>
            </w:r>
          </w:p>
        </w:tc>
        <w:tc>
          <w:tcPr>
            <w:tcW w:w="2686" w:type="dxa"/>
            <w:tcBorders>
              <w:top w:val="nil"/>
              <w:left w:val="nil"/>
              <w:bottom w:val="single" w:sz="4" w:space="0" w:color="auto"/>
              <w:right w:val="single" w:sz="4" w:space="0" w:color="auto"/>
            </w:tcBorders>
            <w:shd w:val="clear" w:color="auto" w:fill="auto"/>
            <w:vAlign w:val="center"/>
            <w:hideMark/>
          </w:tcPr>
          <w:p w14:paraId="4418097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Mapping key actors in climate adaptation and peacebuilding; Inclusive consultation strategies for engaging vulnerable and displaced communities; Addressing gender and social inclusion challenges in fragile areas.</w:t>
            </w:r>
          </w:p>
        </w:tc>
        <w:tc>
          <w:tcPr>
            <w:tcW w:w="1461" w:type="dxa"/>
            <w:tcBorders>
              <w:top w:val="nil"/>
              <w:left w:val="nil"/>
              <w:bottom w:val="single" w:sz="4" w:space="0" w:color="auto"/>
              <w:right w:val="single" w:sz="4" w:space="0" w:color="auto"/>
            </w:tcBorders>
            <w:shd w:val="clear" w:color="auto" w:fill="auto"/>
            <w:vAlign w:val="center"/>
            <w:hideMark/>
          </w:tcPr>
          <w:p w14:paraId="69302A2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953" w:type="dxa"/>
            <w:tcBorders>
              <w:top w:val="nil"/>
              <w:left w:val="nil"/>
              <w:bottom w:val="single" w:sz="4" w:space="0" w:color="auto"/>
              <w:right w:val="single" w:sz="4" w:space="0" w:color="auto"/>
            </w:tcBorders>
            <w:shd w:val="clear" w:color="auto" w:fill="auto"/>
            <w:vAlign w:val="center"/>
            <w:hideMark/>
          </w:tcPr>
          <w:p w14:paraId="77CE8AD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830" w:type="dxa"/>
            <w:tcBorders>
              <w:top w:val="nil"/>
              <w:left w:val="nil"/>
              <w:bottom w:val="single" w:sz="4" w:space="0" w:color="auto"/>
              <w:right w:val="single" w:sz="8" w:space="0" w:color="auto"/>
            </w:tcBorders>
            <w:shd w:val="clear" w:color="auto" w:fill="auto"/>
            <w:vAlign w:val="center"/>
            <w:hideMark/>
          </w:tcPr>
          <w:p w14:paraId="49B11E1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Local government officials, tribal leaders, NGOs, women’s groups, community-based organizations (CBOs), humanitarian agencies.</w:t>
            </w:r>
          </w:p>
        </w:tc>
      </w:tr>
      <w:tr w:rsidR="00B96700" w:rsidRPr="00AC0422" w14:paraId="2CB4A0DE" w14:textId="77777777" w:rsidTr="00391BF1">
        <w:trPr>
          <w:trHeight w:val="1548"/>
        </w:trPr>
        <w:tc>
          <w:tcPr>
            <w:tcW w:w="1699" w:type="dxa"/>
            <w:tcBorders>
              <w:top w:val="nil"/>
              <w:left w:val="single" w:sz="8" w:space="0" w:color="auto"/>
              <w:bottom w:val="single" w:sz="8" w:space="0" w:color="auto"/>
              <w:right w:val="single" w:sz="4" w:space="0" w:color="auto"/>
            </w:tcBorders>
            <w:shd w:val="clear" w:color="auto" w:fill="auto"/>
            <w:vAlign w:val="center"/>
            <w:hideMark/>
          </w:tcPr>
          <w:p w14:paraId="389017A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Adaptive Governance and Institutional Mechanisms for Conflict-Sensitive Adaptation</w:t>
            </w:r>
          </w:p>
        </w:tc>
        <w:tc>
          <w:tcPr>
            <w:tcW w:w="2686" w:type="dxa"/>
            <w:tcBorders>
              <w:top w:val="nil"/>
              <w:left w:val="nil"/>
              <w:bottom w:val="single" w:sz="8" w:space="0" w:color="auto"/>
              <w:right w:val="single" w:sz="4" w:space="0" w:color="auto"/>
            </w:tcBorders>
            <w:shd w:val="clear" w:color="auto" w:fill="auto"/>
            <w:vAlign w:val="center"/>
            <w:hideMark/>
          </w:tcPr>
          <w:p w14:paraId="0AE93E0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Policy and institutional frameworks for conflict-sensitive adaptation planning; Strengthening coordination between climate adaptation, humanitarian response, and peacebuilding; Case studies of conflict-sensitive adaptation planning from other fragile contexts.</w:t>
            </w:r>
          </w:p>
        </w:tc>
        <w:tc>
          <w:tcPr>
            <w:tcW w:w="1461" w:type="dxa"/>
            <w:tcBorders>
              <w:top w:val="nil"/>
              <w:left w:val="nil"/>
              <w:bottom w:val="single" w:sz="8" w:space="0" w:color="auto"/>
              <w:right w:val="single" w:sz="4" w:space="0" w:color="auto"/>
            </w:tcBorders>
            <w:shd w:val="clear" w:color="auto" w:fill="auto"/>
            <w:vAlign w:val="center"/>
            <w:hideMark/>
          </w:tcPr>
          <w:p w14:paraId="30FCBDB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953" w:type="dxa"/>
            <w:tcBorders>
              <w:top w:val="nil"/>
              <w:left w:val="nil"/>
              <w:bottom w:val="single" w:sz="8" w:space="0" w:color="auto"/>
              <w:right w:val="single" w:sz="4" w:space="0" w:color="auto"/>
            </w:tcBorders>
            <w:shd w:val="clear" w:color="auto" w:fill="auto"/>
            <w:vAlign w:val="center"/>
            <w:hideMark/>
          </w:tcPr>
          <w:p w14:paraId="6B074AB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2830" w:type="dxa"/>
            <w:tcBorders>
              <w:top w:val="nil"/>
              <w:left w:val="nil"/>
              <w:bottom w:val="single" w:sz="8" w:space="0" w:color="auto"/>
              <w:right w:val="single" w:sz="8" w:space="0" w:color="auto"/>
            </w:tcBorders>
            <w:shd w:val="clear" w:color="auto" w:fill="auto"/>
            <w:vAlign w:val="center"/>
            <w:hideMark/>
          </w:tcPr>
          <w:p w14:paraId="11CAD0B0" w14:textId="77777777" w:rsidR="00B96700" w:rsidRPr="00AC0422" w:rsidRDefault="00B96700" w:rsidP="00391BF1">
            <w:pPr>
              <w:rPr>
                <w:rFonts w:asciiTheme="minorHAnsi" w:hAnsiTheme="minorHAnsi" w:cstheme="minorHAnsi"/>
                <w:color w:val="000000"/>
                <w:szCs w:val="20"/>
              </w:rPr>
            </w:pP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xml:space="preserve">, EPA,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humanitarian and peacebuilding organizations, sectoral adaptation planners.</w:t>
            </w:r>
          </w:p>
        </w:tc>
      </w:tr>
    </w:tbl>
    <w:p w14:paraId="288C2F94" w14:textId="77777777" w:rsidR="00B96700" w:rsidRPr="00AC0422" w:rsidRDefault="00B96700" w:rsidP="00B96700">
      <w:pPr>
        <w:spacing w:after="120"/>
        <w:ind w:right="-29"/>
        <w:rPr>
          <w:rFonts w:asciiTheme="minorHAnsi" w:hAnsiTheme="minorHAnsi" w:cstheme="minorHAnsi"/>
          <w:b/>
          <w:szCs w:val="20"/>
        </w:rPr>
      </w:pPr>
    </w:p>
    <w:p w14:paraId="250A0CD2" w14:textId="77777777" w:rsidR="00B96700" w:rsidRPr="00AC0422" w:rsidRDefault="00B96700" w:rsidP="00B96700">
      <w:pPr>
        <w:spacing w:after="120"/>
        <w:ind w:right="-29"/>
        <w:rPr>
          <w:rFonts w:asciiTheme="minorHAnsi" w:hAnsiTheme="minorHAnsi" w:cstheme="minorHAnsi"/>
          <w:b/>
          <w:szCs w:val="20"/>
        </w:rPr>
      </w:pPr>
      <w:r w:rsidRPr="00AC0422">
        <w:rPr>
          <w:rFonts w:asciiTheme="minorHAnsi" w:hAnsiTheme="minorHAnsi" w:cstheme="minorHAnsi"/>
          <w:b/>
          <w:szCs w:val="20"/>
        </w:rPr>
        <w:t>Output 3.1.3: Inter and intra institutional coordination and decision making mechanisms established or strengthened</w:t>
      </w:r>
    </w:p>
    <w:p w14:paraId="0D9A95C8" w14:textId="77777777" w:rsidR="00B96700" w:rsidRPr="00AC0422" w:rsidRDefault="00B96700" w:rsidP="00B96700">
      <w:pPr>
        <w:ind w:right="-28"/>
        <w:rPr>
          <w:rFonts w:asciiTheme="minorHAnsi" w:hAnsiTheme="minorHAnsi" w:cstheme="minorHAnsi"/>
          <w:b/>
          <w:i/>
          <w:iCs/>
          <w:szCs w:val="20"/>
          <w:u w:val="single"/>
          <w:lang w:val="en-GB"/>
        </w:rPr>
      </w:pPr>
      <w:r w:rsidRPr="00AC0422">
        <w:rPr>
          <w:rFonts w:asciiTheme="minorHAnsi" w:hAnsiTheme="minorHAnsi" w:cstheme="minorHAnsi"/>
          <w:b/>
          <w:i/>
          <w:iCs/>
          <w:szCs w:val="20"/>
          <w:u w:val="single"/>
        </w:rPr>
        <w:t>Activity 3.1.3.1 Establish a fully capacitated coordination mechanism for the NAP process at the national level under the TCCC.</w:t>
      </w:r>
    </w:p>
    <w:p w14:paraId="7E70C3B0" w14:textId="77777777" w:rsidR="00B96700" w:rsidRPr="00AC0422" w:rsidRDefault="00B96700" w:rsidP="00B96700">
      <w:pPr>
        <w:spacing w:after="120"/>
        <w:ind w:right="-28"/>
        <w:rPr>
          <w:rFonts w:asciiTheme="minorHAnsi" w:hAnsiTheme="minorHAnsi" w:cstheme="minorHAnsi"/>
          <w:bCs/>
          <w:szCs w:val="20"/>
          <w:u w:val="single"/>
          <w:lang w:eastAsia="en-GB"/>
        </w:rPr>
      </w:pPr>
      <w:r w:rsidRPr="00AC0422">
        <w:rPr>
          <w:rFonts w:asciiTheme="minorHAnsi" w:hAnsiTheme="minorHAnsi" w:cstheme="minorHAnsi"/>
          <w:bCs/>
          <w:i/>
          <w:iCs/>
          <w:szCs w:val="20"/>
          <w:u w:val="single"/>
        </w:rPr>
        <w:t>Activity 3.1.3.1(a):</w:t>
      </w:r>
      <w:r w:rsidRPr="00AC0422">
        <w:rPr>
          <w:rFonts w:asciiTheme="minorHAnsi" w:hAnsiTheme="minorHAnsi" w:cstheme="minorHAnsi"/>
          <w:bCs/>
          <w:szCs w:val="20"/>
          <w:u w:val="single"/>
          <w:lang w:eastAsia="en-GB"/>
        </w:rPr>
        <w:t xml:space="preserve"> </w:t>
      </w:r>
      <w:r w:rsidRPr="00AC0422">
        <w:rPr>
          <w:rFonts w:asciiTheme="minorHAnsi" w:hAnsiTheme="minorHAnsi" w:cstheme="minorHAnsi"/>
          <w:bCs/>
          <w:i/>
          <w:iCs/>
          <w:szCs w:val="20"/>
          <w:u w:val="single"/>
          <w:lang w:eastAsia="en-GB"/>
        </w:rPr>
        <w:t>Formally launch the NAP process in Yemen; Develop draft NAP Process Road Map.</w:t>
      </w:r>
    </w:p>
    <w:p w14:paraId="47103351"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eastAsia="Calibri" w:hAnsiTheme="minorHAnsi" w:cstheme="minorHAnsi"/>
          <w:szCs w:val="20"/>
        </w:rPr>
        <w:t>This activity will officially launch the NAP Process through a stakeholder meeting. It will review and, if necessary, strengthen the terms of reference for the Technical Climate Coordination Committee (TCCC) to oversee the process. The activity will ensure inclusivity by engaging relevant stakeholders and providing the TCCC with the authority and tools needed for effective coordination. A flexible Draft NAP Roadmap will be developed, outlining key milestones, timelines, and responsibilities for NAP development and implementation, considering Yemen's socio-political challenges.</w:t>
      </w:r>
    </w:p>
    <w:p w14:paraId="538D9858" w14:textId="77777777" w:rsidR="00B96700" w:rsidRPr="00AC0422" w:rsidRDefault="00B96700" w:rsidP="00B96700">
      <w:pPr>
        <w:spacing w:after="120"/>
        <w:ind w:right="-28"/>
        <w:rPr>
          <w:rFonts w:asciiTheme="minorHAnsi" w:hAnsiTheme="minorHAnsi" w:cstheme="minorHAnsi"/>
          <w:bCs/>
          <w:i/>
          <w:iCs/>
          <w:szCs w:val="20"/>
          <w:u w:val="single"/>
        </w:rPr>
      </w:pPr>
      <w:bookmarkStart w:id="19" w:name="_Hlk189689591"/>
      <w:r w:rsidRPr="00AC0422">
        <w:rPr>
          <w:rFonts w:asciiTheme="minorHAnsi" w:hAnsiTheme="minorHAnsi" w:cstheme="minorHAnsi"/>
          <w:bCs/>
          <w:i/>
          <w:iCs/>
          <w:szCs w:val="20"/>
          <w:u w:val="single"/>
        </w:rPr>
        <w:t xml:space="preserve">Activity 3.1.3.1b: Finalize the NAP Process Roadmap </w:t>
      </w:r>
    </w:p>
    <w:bookmarkEnd w:id="19"/>
    <w:p w14:paraId="7A1A53B6"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This activity will review and revise the Draft Roadmap, conduct stakeholder consultations to gather feedback on the draft roadmap, and refine the roadmap based on inputs, ensuring feasibility and sectoral alignment. </w:t>
      </w:r>
    </w:p>
    <w:p w14:paraId="5F0A74F6"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lastRenderedPageBreak/>
        <w:t>A workshop will be conducted with stakeholders to validate the finalized roadmap and communication strategy.</w:t>
      </w:r>
    </w:p>
    <w:p w14:paraId="2F35E759"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3.1.3.1c: Establish and Conduct Bi-Annual TCCC Meetings and Provide Training on International Adaptation Experiences</w:t>
      </w:r>
    </w:p>
    <w:p w14:paraId="41F8FCFA"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project will plan and establish bi-annual meetings, ensuring participation from all TCCC members and key stakeholders. Meetings will focus on enhancing coordination efforts in Yemen, especially on progress updates, challenges, and action plans for the NAP process. It will also incorporate case studies and lessons learned from international adaptation planning experiences.</w:t>
      </w:r>
    </w:p>
    <w:p w14:paraId="080DCCC7"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3.1.3.1d: Establish National Thematic Clusters (NTCs) for Priority Sectors and Cross-Sectoral Humanitarian Sub-Cluster</w:t>
      </w:r>
    </w:p>
    <w:p w14:paraId="1475AC7D" w14:textId="77777777" w:rsidR="00B96700" w:rsidRPr="00AC0422" w:rsidRDefault="00B96700" w:rsidP="00B96700">
      <w:pPr>
        <w:tabs>
          <w:tab w:val="num" w:pos="720"/>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The project will establish NTCs for agriculture, water, coastal zones, health, and a cross-sectoral humanitarian sub-cluster under the TCCC. </w:t>
      </w:r>
      <w:proofErr w:type="spellStart"/>
      <w:r w:rsidRPr="00AC0422">
        <w:rPr>
          <w:rFonts w:asciiTheme="minorHAnsi" w:hAnsiTheme="minorHAnsi" w:cstheme="minorHAnsi"/>
          <w:szCs w:val="20"/>
          <w:lang w:val="en-GB" w:eastAsia="en-GB"/>
        </w:rPr>
        <w:t>ToRs</w:t>
      </w:r>
      <w:proofErr w:type="spellEnd"/>
      <w:r w:rsidRPr="00AC0422">
        <w:rPr>
          <w:rFonts w:asciiTheme="minorHAnsi" w:hAnsiTheme="minorHAnsi" w:cstheme="minorHAnsi"/>
          <w:szCs w:val="20"/>
          <w:lang w:val="en-GB" w:eastAsia="en-GB"/>
        </w:rPr>
        <w:t xml:space="preserve"> for each cluster, specifying roles, responsibilities, and coordination mechanisms will be developed, with representatives from key stakeholders providing training for cluster members on their roles and deliverables, as well as developing and implementing a workplan that aligns with the NAP roadmap. </w:t>
      </w:r>
    </w:p>
    <w:p w14:paraId="0166E1C0" w14:textId="77777777" w:rsidR="00B96700" w:rsidRPr="00AC0422" w:rsidRDefault="00B96700" w:rsidP="00B96700">
      <w:pPr>
        <w:spacing w:after="120"/>
        <w:ind w:right="-28"/>
        <w:rPr>
          <w:rFonts w:asciiTheme="minorHAnsi" w:hAnsiTheme="minorHAnsi" w:cstheme="minorHAnsi"/>
          <w:i/>
          <w:iCs/>
          <w:szCs w:val="20"/>
          <w:u w:val="single"/>
          <w:lang w:val="en-GB" w:eastAsia="en-GB"/>
        </w:rPr>
      </w:pPr>
      <w:bookmarkStart w:id="20" w:name="_Hlk189480062"/>
      <w:r w:rsidRPr="00AC0422">
        <w:rPr>
          <w:rFonts w:asciiTheme="minorHAnsi" w:hAnsiTheme="minorHAnsi" w:cstheme="minorHAnsi"/>
          <w:i/>
          <w:iCs/>
          <w:szCs w:val="20"/>
          <w:u w:val="single"/>
          <w:lang w:val="en-GB" w:eastAsia="en-GB"/>
        </w:rPr>
        <w:t>Activity 3.1.3.1e: Conduct Two Training Workshops to Strengthen Technical Capacity of the TCCC and NTCs</w:t>
      </w:r>
    </w:p>
    <w:p w14:paraId="62EF27EA" w14:textId="77777777" w:rsidR="00B96700" w:rsidRPr="00AC0422" w:rsidRDefault="00B96700" w:rsidP="00B96700">
      <w:pPr>
        <w:tabs>
          <w:tab w:val="num" w:pos="720"/>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A series of workshops will be held to train TCC and NTCs.  The workshop design and plan based on</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training needs to be identified through a capacity assessment of the TCCC and NTCs (Under Activity 3.1.4.1a).  Training materials will be developed, focused on NAP planning, implementation, monitoring, and cross-sectoral coordination. Interactive training sessions that include case studies, role-playing exercises, scenario-based planning, and international best practices will address the specific roles and responsibilities of the TCCC and NTCs and will use a participatory approach to encourage active learning and practical application. Post-training evaluation will be based on the collection of feedback from participants to assess knowledge gains and identify areas for further capacity building.</w:t>
      </w:r>
    </w:p>
    <w:p w14:paraId="0BDB1973" w14:textId="77777777" w:rsidR="00B96700" w:rsidRPr="00AC0422" w:rsidRDefault="00B96700" w:rsidP="00B96700">
      <w:pPr>
        <w:tabs>
          <w:tab w:val="num" w:pos="720"/>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The two training workshops will aim to enhance the capacity of the Technical Climate Coordination Committee (TCCC) and National Thematic Clusters (NTCs) in effectively planning, implementing, monitoring, and coordinating Yemen’s National Adaptation Plan (NAP). The workshops will be tailored based on training needs assessments (conducted under Activity 3.1.4.1a) and will ensure a practical, interactive, and </w:t>
      </w:r>
      <w:proofErr w:type="spellStart"/>
      <w:r w:rsidRPr="00AC0422">
        <w:rPr>
          <w:rFonts w:asciiTheme="minorHAnsi" w:hAnsiTheme="minorHAnsi" w:cstheme="minorHAnsi"/>
          <w:szCs w:val="20"/>
          <w:lang w:val="en-GB" w:eastAsia="en-GB"/>
        </w:rPr>
        <w:t>sectoraly</w:t>
      </w:r>
      <w:proofErr w:type="spellEnd"/>
      <w:r w:rsidRPr="00AC0422">
        <w:rPr>
          <w:rFonts w:asciiTheme="minorHAnsi" w:hAnsiTheme="minorHAnsi" w:cstheme="minorHAnsi"/>
          <w:szCs w:val="20"/>
          <w:lang w:val="en-GB" w:eastAsia="en-GB"/>
        </w:rPr>
        <w:t xml:space="preserve"> relevant approach. The workshops will be designed to strengthen participants' technical skills and understanding of NAP processes and cross-sectoral coordination. The training topics will include:</w:t>
      </w:r>
    </w:p>
    <w:p w14:paraId="6F6BFCC2"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noProof/>
          <w:sz w:val="20"/>
          <w:szCs w:val="20"/>
        </w:rPr>
        <w:t>6</w:t>
      </w:r>
      <w:r w:rsidRPr="00AC0422">
        <w:rPr>
          <w:rFonts w:asciiTheme="minorHAnsi" w:hAnsiTheme="minorHAnsi" w:cstheme="minorHAnsi"/>
          <w:noProof/>
          <w:sz w:val="20"/>
          <w:szCs w:val="20"/>
        </w:rPr>
        <w:fldChar w:fldCharType="end"/>
      </w:r>
      <w:r w:rsidRPr="00AC0422">
        <w:rPr>
          <w:rFonts w:asciiTheme="minorHAnsi" w:hAnsiTheme="minorHAnsi" w:cstheme="minorHAnsi"/>
          <w:sz w:val="20"/>
          <w:szCs w:val="20"/>
        </w:rPr>
        <w:t>: Activity 3.1.3.1e - Workshop 1 - Fundamentals of NAP Planning and Implementation</w:t>
      </w:r>
    </w:p>
    <w:tbl>
      <w:tblPr>
        <w:tblW w:w="8792" w:type="dxa"/>
        <w:tblLook w:val="04A0" w:firstRow="1" w:lastRow="0" w:firstColumn="1" w:lastColumn="0" w:noHBand="0" w:noVBand="1"/>
      </w:tblPr>
      <w:tblGrid>
        <w:gridCol w:w="3552"/>
        <w:gridCol w:w="5240"/>
      </w:tblGrid>
      <w:tr w:rsidR="00B96700" w:rsidRPr="00AC0422" w14:paraId="2A5FC498" w14:textId="77777777" w:rsidTr="00391BF1">
        <w:trPr>
          <w:trHeight w:val="294"/>
        </w:trPr>
        <w:tc>
          <w:tcPr>
            <w:tcW w:w="3552"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1CCC9038"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Module</w:t>
            </w:r>
          </w:p>
        </w:tc>
        <w:tc>
          <w:tcPr>
            <w:tcW w:w="5240" w:type="dxa"/>
            <w:tcBorders>
              <w:top w:val="single" w:sz="8" w:space="0" w:color="auto"/>
              <w:left w:val="nil"/>
              <w:bottom w:val="single" w:sz="8" w:space="0" w:color="auto"/>
              <w:right w:val="single" w:sz="8" w:space="0" w:color="auto"/>
            </w:tcBorders>
            <w:shd w:val="clear" w:color="auto" w:fill="auto"/>
            <w:vAlign w:val="center"/>
            <w:hideMark/>
          </w:tcPr>
          <w:p w14:paraId="6EC583D7"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Key Topics</w:t>
            </w:r>
          </w:p>
        </w:tc>
      </w:tr>
      <w:tr w:rsidR="00B96700" w:rsidRPr="00AC0422" w14:paraId="3E7E3326" w14:textId="77777777" w:rsidTr="00391BF1">
        <w:trPr>
          <w:trHeight w:val="280"/>
        </w:trPr>
        <w:tc>
          <w:tcPr>
            <w:tcW w:w="3552" w:type="dxa"/>
            <w:vMerge w:val="restart"/>
            <w:tcBorders>
              <w:top w:val="nil"/>
              <w:left w:val="single" w:sz="8" w:space="0" w:color="auto"/>
              <w:bottom w:val="single" w:sz="8" w:space="0" w:color="000000"/>
              <w:right w:val="single" w:sz="4" w:space="0" w:color="auto"/>
            </w:tcBorders>
            <w:shd w:val="clear" w:color="auto" w:fill="auto"/>
            <w:vAlign w:val="center"/>
            <w:hideMark/>
          </w:tcPr>
          <w:p w14:paraId="3705CDD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Introduction to Climate Adaptation and NAP Process</w:t>
            </w:r>
          </w:p>
        </w:tc>
        <w:tc>
          <w:tcPr>
            <w:tcW w:w="5240" w:type="dxa"/>
            <w:tcBorders>
              <w:top w:val="nil"/>
              <w:left w:val="nil"/>
              <w:bottom w:val="single" w:sz="4" w:space="0" w:color="auto"/>
              <w:right w:val="single" w:sz="8" w:space="0" w:color="auto"/>
            </w:tcBorders>
            <w:shd w:val="clear" w:color="auto" w:fill="auto"/>
            <w:vAlign w:val="center"/>
            <w:hideMark/>
          </w:tcPr>
          <w:p w14:paraId="74B77E8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Overview of climate change risks and vulnerabilities in Yemen.</w:t>
            </w:r>
          </w:p>
        </w:tc>
      </w:tr>
      <w:tr w:rsidR="00B96700" w:rsidRPr="00AC0422" w14:paraId="7D588AC3" w14:textId="77777777" w:rsidTr="00391BF1">
        <w:trPr>
          <w:trHeight w:val="280"/>
        </w:trPr>
        <w:tc>
          <w:tcPr>
            <w:tcW w:w="3552" w:type="dxa"/>
            <w:vMerge/>
            <w:tcBorders>
              <w:top w:val="nil"/>
              <w:left w:val="single" w:sz="8" w:space="0" w:color="auto"/>
              <w:bottom w:val="single" w:sz="8" w:space="0" w:color="000000"/>
              <w:right w:val="single" w:sz="4" w:space="0" w:color="auto"/>
            </w:tcBorders>
            <w:vAlign w:val="center"/>
            <w:hideMark/>
          </w:tcPr>
          <w:p w14:paraId="0A7D0982"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4" w:space="0" w:color="auto"/>
              <w:right w:val="single" w:sz="8" w:space="0" w:color="auto"/>
            </w:tcBorders>
            <w:shd w:val="clear" w:color="auto" w:fill="auto"/>
            <w:vAlign w:val="center"/>
            <w:hideMark/>
          </w:tcPr>
          <w:p w14:paraId="79E2656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Understanding Yemen’s NAP objectives and framework.</w:t>
            </w:r>
          </w:p>
        </w:tc>
      </w:tr>
      <w:tr w:rsidR="00B96700" w:rsidRPr="00AC0422" w14:paraId="6B8ACAEF" w14:textId="77777777" w:rsidTr="00391BF1">
        <w:trPr>
          <w:trHeight w:val="294"/>
        </w:trPr>
        <w:tc>
          <w:tcPr>
            <w:tcW w:w="3552" w:type="dxa"/>
            <w:vMerge/>
            <w:tcBorders>
              <w:top w:val="nil"/>
              <w:left w:val="single" w:sz="8" w:space="0" w:color="auto"/>
              <w:bottom w:val="single" w:sz="8" w:space="0" w:color="000000"/>
              <w:right w:val="single" w:sz="4" w:space="0" w:color="auto"/>
            </w:tcBorders>
            <w:vAlign w:val="center"/>
            <w:hideMark/>
          </w:tcPr>
          <w:p w14:paraId="48D04829"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8" w:space="0" w:color="auto"/>
              <w:right w:val="single" w:sz="8" w:space="0" w:color="auto"/>
            </w:tcBorders>
            <w:shd w:val="clear" w:color="auto" w:fill="auto"/>
            <w:vAlign w:val="center"/>
            <w:hideMark/>
          </w:tcPr>
          <w:p w14:paraId="796D275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The role of TCCC and NTCs in NAP planning and implementation.</w:t>
            </w:r>
          </w:p>
        </w:tc>
      </w:tr>
      <w:tr w:rsidR="00B96700" w:rsidRPr="00AC0422" w14:paraId="37902D01" w14:textId="77777777" w:rsidTr="00391BF1">
        <w:trPr>
          <w:trHeight w:val="280"/>
        </w:trPr>
        <w:tc>
          <w:tcPr>
            <w:tcW w:w="3552" w:type="dxa"/>
            <w:vMerge w:val="restart"/>
            <w:tcBorders>
              <w:top w:val="nil"/>
              <w:left w:val="single" w:sz="8" w:space="0" w:color="auto"/>
              <w:bottom w:val="single" w:sz="8" w:space="0" w:color="000000"/>
              <w:right w:val="single" w:sz="4" w:space="0" w:color="auto"/>
            </w:tcBorders>
            <w:shd w:val="clear" w:color="auto" w:fill="auto"/>
            <w:vAlign w:val="center"/>
            <w:hideMark/>
          </w:tcPr>
          <w:p w14:paraId="4698119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NAP Policy and Institutional Integration</w:t>
            </w:r>
          </w:p>
        </w:tc>
        <w:tc>
          <w:tcPr>
            <w:tcW w:w="5240" w:type="dxa"/>
            <w:tcBorders>
              <w:top w:val="nil"/>
              <w:left w:val="nil"/>
              <w:bottom w:val="single" w:sz="4" w:space="0" w:color="auto"/>
              <w:right w:val="single" w:sz="8" w:space="0" w:color="auto"/>
            </w:tcBorders>
            <w:shd w:val="clear" w:color="auto" w:fill="auto"/>
            <w:vAlign w:val="center"/>
            <w:hideMark/>
          </w:tcPr>
          <w:p w14:paraId="52E85EF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How to mainstream adaptation into national and sectoral policies.</w:t>
            </w:r>
          </w:p>
        </w:tc>
      </w:tr>
      <w:tr w:rsidR="00B96700" w:rsidRPr="00AC0422" w14:paraId="57F69D95" w14:textId="77777777" w:rsidTr="00391BF1">
        <w:trPr>
          <w:trHeight w:val="504"/>
        </w:trPr>
        <w:tc>
          <w:tcPr>
            <w:tcW w:w="3552" w:type="dxa"/>
            <w:vMerge/>
            <w:tcBorders>
              <w:top w:val="nil"/>
              <w:left w:val="single" w:sz="8" w:space="0" w:color="auto"/>
              <w:bottom w:val="single" w:sz="8" w:space="0" w:color="000000"/>
              <w:right w:val="single" w:sz="4" w:space="0" w:color="auto"/>
            </w:tcBorders>
            <w:vAlign w:val="center"/>
            <w:hideMark/>
          </w:tcPr>
          <w:p w14:paraId="311B6232"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4" w:space="0" w:color="auto"/>
              <w:right w:val="single" w:sz="8" w:space="0" w:color="auto"/>
            </w:tcBorders>
            <w:shd w:val="clear" w:color="auto" w:fill="auto"/>
            <w:vAlign w:val="center"/>
            <w:hideMark/>
          </w:tcPr>
          <w:p w14:paraId="0292E20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Policy coherence between NAP, NDC, and national development plans.</w:t>
            </w:r>
          </w:p>
        </w:tc>
      </w:tr>
      <w:tr w:rsidR="00B96700" w:rsidRPr="00AC0422" w14:paraId="31E98F37" w14:textId="77777777" w:rsidTr="00391BF1">
        <w:trPr>
          <w:trHeight w:val="294"/>
        </w:trPr>
        <w:tc>
          <w:tcPr>
            <w:tcW w:w="3552" w:type="dxa"/>
            <w:vMerge/>
            <w:tcBorders>
              <w:top w:val="nil"/>
              <w:left w:val="single" w:sz="8" w:space="0" w:color="auto"/>
              <w:bottom w:val="single" w:sz="8" w:space="0" w:color="000000"/>
              <w:right w:val="single" w:sz="4" w:space="0" w:color="auto"/>
            </w:tcBorders>
            <w:vAlign w:val="center"/>
            <w:hideMark/>
          </w:tcPr>
          <w:p w14:paraId="2B0831F4"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8" w:space="0" w:color="auto"/>
              <w:right w:val="single" w:sz="8" w:space="0" w:color="auto"/>
            </w:tcBorders>
            <w:shd w:val="clear" w:color="auto" w:fill="auto"/>
            <w:vAlign w:val="center"/>
            <w:hideMark/>
          </w:tcPr>
          <w:p w14:paraId="7471196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Role of ministries, agencies, and stakeholders.</w:t>
            </w:r>
          </w:p>
        </w:tc>
      </w:tr>
      <w:tr w:rsidR="00B96700" w:rsidRPr="00AC0422" w14:paraId="7F4A2609" w14:textId="77777777" w:rsidTr="00391BF1">
        <w:trPr>
          <w:trHeight w:val="280"/>
        </w:trPr>
        <w:tc>
          <w:tcPr>
            <w:tcW w:w="3552" w:type="dxa"/>
            <w:vMerge w:val="restart"/>
            <w:tcBorders>
              <w:top w:val="nil"/>
              <w:left w:val="single" w:sz="8" w:space="0" w:color="auto"/>
              <w:bottom w:val="single" w:sz="8" w:space="0" w:color="000000"/>
              <w:right w:val="single" w:sz="4" w:space="0" w:color="auto"/>
            </w:tcBorders>
            <w:shd w:val="clear" w:color="auto" w:fill="auto"/>
            <w:vAlign w:val="center"/>
            <w:hideMark/>
          </w:tcPr>
          <w:p w14:paraId="68280D5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Adaptation Planning Methodologies</w:t>
            </w:r>
          </w:p>
        </w:tc>
        <w:tc>
          <w:tcPr>
            <w:tcW w:w="5240" w:type="dxa"/>
            <w:tcBorders>
              <w:top w:val="nil"/>
              <w:left w:val="nil"/>
              <w:bottom w:val="single" w:sz="4" w:space="0" w:color="auto"/>
              <w:right w:val="single" w:sz="8" w:space="0" w:color="auto"/>
            </w:tcBorders>
            <w:shd w:val="clear" w:color="auto" w:fill="auto"/>
            <w:vAlign w:val="center"/>
            <w:hideMark/>
          </w:tcPr>
          <w:p w14:paraId="6395A79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How to conduct climate risk and vulnerability assessments.</w:t>
            </w:r>
          </w:p>
        </w:tc>
      </w:tr>
      <w:tr w:rsidR="00B96700" w:rsidRPr="00AC0422" w14:paraId="7CB1143C" w14:textId="77777777" w:rsidTr="00391BF1">
        <w:trPr>
          <w:trHeight w:val="560"/>
        </w:trPr>
        <w:tc>
          <w:tcPr>
            <w:tcW w:w="3552" w:type="dxa"/>
            <w:vMerge/>
            <w:tcBorders>
              <w:top w:val="nil"/>
              <w:left w:val="single" w:sz="8" w:space="0" w:color="auto"/>
              <w:bottom w:val="single" w:sz="8" w:space="0" w:color="000000"/>
              <w:right w:val="single" w:sz="4" w:space="0" w:color="auto"/>
            </w:tcBorders>
            <w:vAlign w:val="center"/>
            <w:hideMark/>
          </w:tcPr>
          <w:p w14:paraId="5AA22898"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4" w:space="0" w:color="auto"/>
              <w:right w:val="single" w:sz="8" w:space="0" w:color="auto"/>
            </w:tcBorders>
            <w:shd w:val="clear" w:color="auto" w:fill="auto"/>
            <w:vAlign w:val="center"/>
            <w:hideMark/>
          </w:tcPr>
          <w:p w14:paraId="19FC3CB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sectoral adaptation plans (water, agriculture, coastal zones, health).</w:t>
            </w:r>
          </w:p>
        </w:tc>
      </w:tr>
      <w:tr w:rsidR="00B96700" w:rsidRPr="00AC0422" w14:paraId="25B6277E" w14:textId="77777777" w:rsidTr="00391BF1">
        <w:trPr>
          <w:trHeight w:val="294"/>
        </w:trPr>
        <w:tc>
          <w:tcPr>
            <w:tcW w:w="3552" w:type="dxa"/>
            <w:vMerge/>
            <w:tcBorders>
              <w:top w:val="nil"/>
              <w:left w:val="single" w:sz="8" w:space="0" w:color="auto"/>
              <w:bottom w:val="single" w:sz="8" w:space="0" w:color="000000"/>
              <w:right w:val="single" w:sz="4" w:space="0" w:color="auto"/>
            </w:tcBorders>
            <w:vAlign w:val="center"/>
            <w:hideMark/>
          </w:tcPr>
          <w:p w14:paraId="30623C02"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8" w:space="0" w:color="auto"/>
              <w:right w:val="single" w:sz="8" w:space="0" w:color="auto"/>
            </w:tcBorders>
            <w:shd w:val="clear" w:color="auto" w:fill="auto"/>
            <w:vAlign w:val="center"/>
            <w:hideMark/>
          </w:tcPr>
          <w:p w14:paraId="43A4D61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Identifying and prioritizing adaptation actions.</w:t>
            </w:r>
          </w:p>
        </w:tc>
      </w:tr>
      <w:tr w:rsidR="00B96700" w:rsidRPr="00AC0422" w14:paraId="1376FDDD" w14:textId="77777777" w:rsidTr="00391BF1">
        <w:trPr>
          <w:trHeight w:val="280"/>
        </w:trPr>
        <w:tc>
          <w:tcPr>
            <w:tcW w:w="3552" w:type="dxa"/>
            <w:vMerge w:val="restart"/>
            <w:tcBorders>
              <w:top w:val="nil"/>
              <w:left w:val="single" w:sz="8" w:space="0" w:color="auto"/>
              <w:bottom w:val="single" w:sz="8" w:space="0" w:color="000000"/>
              <w:right w:val="single" w:sz="4" w:space="0" w:color="auto"/>
            </w:tcBorders>
            <w:shd w:val="clear" w:color="auto" w:fill="auto"/>
            <w:vAlign w:val="center"/>
            <w:hideMark/>
          </w:tcPr>
          <w:p w14:paraId="5815DF4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Finance and Resource Mobilization</w:t>
            </w:r>
          </w:p>
        </w:tc>
        <w:tc>
          <w:tcPr>
            <w:tcW w:w="5240" w:type="dxa"/>
            <w:tcBorders>
              <w:top w:val="nil"/>
              <w:left w:val="nil"/>
              <w:bottom w:val="single" w:sz="4" w:space="0" w:color="auto"/>
              <w:right w:val="single" w:sz="8" w:space="0" w:color="auto"/>
            </w:tcBorders>
            <w:shd w:val="clear" w:color="auto" w:fill="auto"/>
            <w:vAlign w:val="center"/>
            <w:hideMark/>
          </w:tcPr>
          <w:p w14:paraId="5A23336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Understanding adaptation finance mechanisms (GCF, GEF, Adaptation Fund).</w:t>
            </w:r>
          </w:p>
        </w:tc>
      </w:tr>
      <w:tr w:rsidR="00B96700" w:rsidRPr="00AC0422" w14:paraId="638E2385" w14:textId="77777777" w:rsidTr="00391BF1">
        <w:trPr>
          <w:trHeight w:val="280"/>
        </w:trPr>
        <w:tc>
          <w:tcPr>
            <w:tcW w:w="3552" w:type="dxa"/>
            <w:vMerge/>
            <w:tcBorders>
              <w:top w:val="nil"/>
              <w:left w:val="single" w:sz="8" w:space="0" w:color="auto"/>
              <w:bottom w:val="single" w:sz="8" w:space="0" w:color="000000"/>
              <w:right w:val="single" w:sz="4" w:space="0" w:color="auto"/>
            </w:tcBorders>
            <w:vAlign w:val="center"/>
            <w:hideMark/>
          </w:tcPr>
          <w:p w14:paraId="56F5B0CB"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4" w:space="0" w:color="auto"/>
              <w:right w:val="single" w:sz="8" w:space="0" w:color="auto"/>
            </w:tcBorders>
            <w:shd w:val="clear" w:color="auto" w:fill="auto"/>
            <w:vAlign w:val="center"/>
            <w:hideMark/>
          </w:tcPr>
          <w:p w14:paraId="2A8C4DB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Steps for developing bankable adaptation projects.</w:t>
            </w:r>
          </w:p>
        </w:tc>
      </w:tr>
      <w:tr w:rsidR="00B96700" w:rsidRPr="00AC0422" w14:paraId="2A6A4CFA" w14:textId="77777777" w:rsidTr="00391BF1">
        <w:trPr>
          <w:trHeight w:val="294"/>
        </w:trPr>
        <w:tc>
          <w:tcPr>
            <w:tcW w:w="3552" w:type="dxa"/>
            <w:vMerge/>
            <w:tcBorders>
              <w:top w:val="nil"/>
              <w:left w:val="single" w:sz="8" w:space="0" w:color="auto"/>
              <w:bottom w:val="single" w:sz="8" w:space="0" w:color="000000"/>
              <w:right w:val="single" w:sz="4" w:space="0" w:color="auto"/>
            </w:tcBorders>
            <w:vAlign w:val="center"/>
            <w:hideMark/>
          </w:tcPr>
          <w:p w14:paraId="5EF58E70" w14:textId="77777777" w:rsidR="00B96700" w:rsidRPr="00AC0422" w:rsidRDefault="00B96700" w:rsidP="00391BF1">
            <w:pPr>
              <w:rPr>
                <w:rFonts w:asciiTheme="minorHAnsi" w:hAnsiTheme="minorHAnsi" w:cstheme="minorHAnsi"/>
                <w:color w:val="000000"/>
                <w:szCs w:val="20"/>
              </w:rPr>
            </w:pPr>
          </w:p>
        </w:tc>
        <w:tc>
          <w:tcPr>
            <w:tcW w:w="5240" w:type="dxa"/>
            <w:tcBorders>
              <w:top w:val="nil"/>
              <w:left w:val="nil"/>
              <w:bottom w:val="single" w:sz="8" w:space="0" w:color="auto"/>
              <w:right w:val="single" w:sz="8" w:space="0" w:color="auto"/>
            </w:tcBorders>
            <w:shd w:val="clear" w:color="auto" w:fill="auto"/>
            <w:vAlign w:val="center"/>
            <w:hideMark/>
          </w:tcPr>
          <w:p w14:paraId="0D6658D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Public-private partnerships in adaptation finance.</w:t>
            </w:r>
          </w:p>
        </w:tc>
      </w:tr>
      <w:tr w:rsidR="00B96700" w:rsidRPr="00AC0422" w14:paraId="56B15DF3" w14:textId="77777777" w:rsidTr="00391BF1">
        <w:trPr>
          <w:trHeight w:val="560"/>
        </w:trPr>
        <w:tc>
          <w:tcPr>
            <w:tcW w:w="3552" w:type="dxa"/>
            <w:vMerge w:val="restart"/>
            <w:tcBorders>
              <w:top w:val="nil"/>
              <w:left w:val="single" w:sz="8" w:space="0" w:color="auto"/>
              <w:bottom w:val="single" w:sz="8" w:space="0" w:color="000000"/>
              <w:right w:val="single" w:sz="4" w:space="0" w:color="auto"/>
            </w:tcBorders>
            <w:shd w:val="clear" w:color="auto" w:fill="auto"/>
            <w:vAlign w:val="center"/>
            <w:hideMark/>
          </w:tcPr>
          <w:p w14:paraId="4B17E0B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Stakeholder Engagement and Participatory Adaptation Planning</w:t>
            </w:r>
          </w:p>
        </w:tc>
        <w:tc>
          <w:tcPr>
            <w:tcW w:w="5240" w:type="dxa"/>
            <w:tcBorders>
              <w:top w:val="nil"/>
              <w:left w:val="nil"/>
              <w:bottom w:val="single" w:sz="4" w:space="0" w:color="auto"/>
              <w:right w:val="single" w:sz="8" w:space="0" w:color="auto"/>
            </w:tcBorders>
            <w:shd w:val="clear" w:color="auto" w:fill="auto"/>
            <w:vAlign w:val="center"/>
            <w:hideMark/>
          </w:tcPr>
          <w:p w14:paraId="6E15D5A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Engaging communities, civil society, and vulnerable groups in adaptation planning.</w:t>
            </w:r>
          </w:p>
        </w:tc>
      </w:tr>
      <w:tr w:rsidR="00B96700" w:rsidRPr="00AC0422" w14:paraId="40A89B56" w14:textId="77777777" w:rsidTr="00391BF1">
        <w:trPr>
          <w:trHeight w:val="280"/>
        </w:trPr>
        <w:tc>
          <w:tcPr>
            <w:tcW w:w="3552" w:type="dxa"/>
            <w:vMerge/>
            <w:tcBorders>
              <w:top w:val="nil"/>
              <w:left w:val="single" w:sz="8" w:space="0" w:color="auto"/>
              <w:bottom w:val="single" w:sz="8" w:space="0" w:color="000000"/>
              <w:right w:val="single" w:sz="4" w:space="0" w:color="auto"/>
            </w:tcBorders>
            <w:vAlign w:val="center"/>
            <w:hideMark/>
          </w:tcPr>
          <w:p w14:paraId="6D6E12A9" w14:textId="77777777" w:rsidR="00B96700" w:rsidRPr="00AC0422" w:rsidRDefault="00B96700" w:rsidP="00391BF1">
            <w:pPr>
              <w:rPr>
                <w:rFonts w:asciiTheme="minorHAnsi" w:hAnsiTheme="minorHAnsi" w:cstheme="minorHAnsi"/>
                <w:b/>
                <w:bCs/>
                <w:color w:val="000000"/>
                <w:szCs w:val="20"/>
              </w:rPr>
            </w:pPr>
          </w:p>
        </w:tc>
        <w:tc>
          <w:tcPr>
            <w:tcW w:w="5240" w:type="dxa"/>
            <w:tcBorders>
              <w:top w:val="nil"/>
              <w:left w:val="nil"/>
              <w:bottom w:val="single" w:sz="4" w:space="0" w:color="auto"/>
              <w:right w:val="single" w:sz="8" w:space="0" w:color="auto"/>
            </w:tcBorders>
            <w:shd w:val="clear" w:color="auto" w:fill="auto"/>
            <w:vAlign w:val="center"/>
            <w:hideMark/>
          </w:tcPr>
          <w:p w14:paraId="32CEC00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Gender and social inclusion in adaptation planning.</w:t>
            </w:r>
          </w:p>
        </w:tc>
      </w:tr>
      <w:tr w:rsidR="00B96700" w:rsidRPr="00AC0422" w14:paraId="73D378DA" w14:textId="77777777" w:rsidTr="00391BF1">
        <w:trPr>
          <w:trHeight w:val="294"/>
        </w:trPr>
        <w:tc>
          <w:tcPr>
            <w:tcW w:w="3552" w:type="dxa"/>
            <w:vMerge/>
            <w:tcBorders>
              <w:top w:val="nil"/>
              <w:left w:val="single" w:sz="8" w:space="0" w:color="auto"/>
              <w:bottom w:val="single" w:sz="8" w:space="0" w:color="000000"/>
              <w:right w:val="single" w:sz="4" w:space="0" w:color="auto"/>
            </w:tcBorders>
            <w:vAlign w:val="center"/>
            <w:hideMark/>
          </w:tcPr>
          <w:p w14:paraId="1F5C1C31" w14:textId="77777777" w:rsidR="00B96700" w:rsidRPr="00AC0422" w:rsidRDefault="00B96700" w:rsidP="00391BF1">
            <w:pPr>
              <w:rPr>
                <w:rFonts w:asciiTheme="minorHAnsi" w:hAnsiTheme="minorHAnsi" w:cstheme="minorHAnsi"/>
                <w:b/>
                <w:bCs/>
                <w:color w:val="000000"/>
                <w:szCs w:val="20"/>
              </w:rPr>
            </w:pPr>
          </w:p>
        </w:tc>
        <w:tc>
          <w:tcPr>
            <w:tcW w:w="5240" w:type="dxa"/>
            <w:tcBorders>
              <w:top w:val="nil"/>
              <w:left w:val="nil"/>
              <w:bottom w:val="single" w:sz="8" w:space="0" w:color="auto"/>
              <w:right w:val="single" w:sz="8" w:space="0" w:color="auto"/>
            </w:tcBorders>
            <w:shd w:val="clear" w:color="auto" w:fill="auto"/>
            <w:vAlign w:val="center"/>
            <w:hideMark/>
          </w:tcPr>
          <w:p w14:paraId="2BB2577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Multi-stakeholder coordination mechanisms.</w:t>
            </w:r>
          </w:p>
        </w:tc>
      </w:tr>
    </w:tbl>
    <w:p w14:paraId="12D03B9C" w14:textId="77777777" w:rsidR="00B96700" w:rsidRPr="00AC0422" w:rsidRDefault="00B96700" w:rsidP="00B96700">
      <w:pPr>
        <w:tabs>
          <w:tab w:val="num" w:pos="720"/>
          <w:tab w:val="num" w:pos="1440"/>
        </w:tabs>
        <w:spacing w:after="120"/>
        <w:ind w:right="-28"/>
        <w:rPr>
          <w:rFonts w:asciiTheme="minorHAnsi" w:hAnsiTheme="minorHAnsi" w:cstheme="minorHAnsi"/>
          <w:szCs w:val="20"/>
          <w:lang w:val="en-GB" w:eastAsia="en-GB"/>
        </w:rPr>
      </w:pPr>
    </w:p>
    <w:p w14:paraId="598B7F40" w14:textId="77777777" w:rsidR="00B96700" w:rsidRPr="00AC0422" w:rsidRDefault="00B96700" w:rsidP="00B96700">
      <w:pPr>
        <w:pStyle w:val="Caption"/>
        <w:keepNext/>
        <w:rPr>
          <w:rFonts w:asciiTheme="minorHAnsi" w:hAnsiTheme="minorHAnsi" w:cstheme="minorHAnsi"/>
        </w:rPr>
      </w:pPr>
    </w:p>
    <w:p w14:paraId="579DA133" w14:textId="77777777" w:rsidR="00B96700" w:rsidRPr="00AC0422" w:rsidRDefault="00B96700" w:rsidP="00B96700">
      <w:pPr>
        <w:spacing w:after="160" w:line="259" w:lineRule="auto"/>
        <w:rPr>
          <w:rFonts w:asciiTheme="minorHAnsi" w:hAnsiTheme="minorHAnsi" w:cstheme="minorHAnsi"/>
          <w:szCs w:val="20"/>
          <w:lang w:val="en-GB" w:eastAsia="en-GB"/>
        </w:rPr>
      </w:pPr>
      <w:r w:rsidRPr="00AC0422">
        <w:rPr>
          <w:rFonts w:asciiTheme="minorHAnsi" w:hAnsiTheme="minorHAnsi" w:cstheme="minorHAnsi"/>
          <w:szCs w:val="20"/>
          <w:lang w:val="en-GB" w:eastAsia="en-GB"/>
        </w:rPr>
        <w:br w:type="page"/>
      </w:r>
    </w:p>
    <w:p w14:paraId="553E1165"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lastRenderedPageBreak/>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noProof/>
          <w:sz w:val="20"/>
          <w:szCs w:val="20"/>
        </w:rPr>
        <w:t>7</w:t>
      </w:r>
      <w:r w:rsidRPr="00AC0422">
        <w:rPr>
          <w:rFonts w:asciiTheme="minorHAnsi" w:hAnsiTheme="minorHAnsi" w:cstheme="minorHAnsi"/>
          <w:noProof/>
          <w:sz w:val="20"/>
          <w:szCs w:val="20"/>
        </w:rPr>
        <w:fldChar w:fldCharType="end"/>
      </w:r>
      <w:r w:rsidRPr="00AC0422">
        <w:rPr>
          <w:rFonts w:asciiTheme="minorHAnsi" w:hAnsiTheme="minorHAnsi" w:cstheme="minorHAnsi"/>
          <w:sz w:val="20"/>
          <w:szCs w:val="20"/>
        </w:rPr>
        <w:t>: Activity 3.1.3.1e - Workshop 2 - Cross-Sectoral Coordination, M&amp;E, and Knowledge Management</w:t>
      </w:r>
    </w:p>
    <w:tbl>
      <w:tblPr>
        <w:tblW w:w="9717" w:type="dxa"/>
        <w:tblLook w:val="04A0" w:firstRow="1" w:lastRow="0" w:firstColumn="1" w:lastColumn="0" w:noHBand="0" w:noVBand="1"/>
      </w:tblPr>
      <w:tblGrid>
        <w:gridCol w:w="3926"/>
        <w:gridCol w:w="5791"/>
      </w:tblGrid>
      <w:tr w:rsidR="00B96700" w:rsidRPr="00AC0422" w14:paraId="4CE2B00D" w14:textId="77777777" w:rsidTr="00391BF1">
        <w:trPr>
          <w:trHeight w:val="251"/>
        </w:trPr>
        <w:tc>
          <w:tcPr>
            <w:tcW w:w="3926"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492E30CC"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Module</w:t>
            </w:r>
          </w:p>
        </w:tc>
        <w:tc>
          <w:tcPr>
            <w:tcW w:w="5791" w:type="dxa"/>
            <w:tcBorders>
              <w:top w:val="single" w:sz="8" w:space="0" w:color="auto"/>
              <w:left w:val="nil"/>
              <w:bottom w:val="single" w:sz="8" w:space="0" w:color="auto"/>
              <w:right w:val="single" w:sz="8" w:space="0" w:color="auto"/>
            </w:tcBorders>
            <w:shd w:val="clear" w:color="auto" w:fill="auto"/>
            <w:vAlign w:val="center"/>
            <w:hideMark/>
          </w:tcPr>
          <w:p w14:paraId="0C12EB89"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Key Topics</w:t>
            </w:r>
          </w:p>
        </w:tc>
      </w:tr>
      <w:tr w:rsidR="00B96700" w:rsidRPr="00AC0422" w14:paraId="34C7A1D6" w14:textId="77777777" w:rsidTr="00391BF1">
        <w:trPr>
          <w:trHeight w:val="239"/>
        </w:trPr>
        <w:tc>
          <w:tcPr>
            <w:tcW w:w="3926" w:type="dxa"/>
            <w:vMerge w:val="restart"/>
            <w:tcBorders>
              <w:top w:val="nil"/>
              <w:left w:val="single" w:sz="8" w:space="0" w:color="auto"/>
              <w:bottom w:val="single" w:sz="8" w:space="0" w:color="000000"/>
              <w:right w:val="single" w:sz="4" w:space="0" w:color="auto"/>
            </w:tcBorders>
            <w:shd w:val="clear" w:color="auto" w:fill="auto"/>
            <w:vAlign w:val="center"/>
            <w:hideMark/>
          </w:tcPr>
          <w:p w14:paraId="2F88AEE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Strengthening Institutional Coordination for Adaptation</w:t>
            </w:r>
          </w:p>
        </w:tc>
        <w:tc>
          <w:tcPr>
            <w:tcW w:w="5791" w:type="dxa"/>
            <w:tcBorders>
              <w:top w:val="nil"/>
              <w:left w:val="nil"/>
              <w:bottom w:val="single" w:sz="4" w:space="0" w:color="auto"/>
              <w:right w:val="single" w:sz="8" w:space="0" w:color="auto"/>
            </w:tcBorders>
            <w:shd w:val="clear" w:color="auto" w:fill="auto"/>
            <w:vAlign w:val="center"/>
            <w:hideMark/>
          </w:tcPr>
          <w:p w14:paraId="29AB898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Mechanisms for cross-sectoral coordination and governance.</w:t>
            </w:r>
          </w:p>
        </w:tc>
      </w:tr>
      <w:tr w:rsidR="00B96700" w:rsidRPr="00AC0422" w14:paraId="0A98B559" w14:textId="77777777" w:rsidTr="00391BF1">
        <w:trPr>
          <w:trHeight w:val="239"/>
        </w:trPr>
        <w:tc>
          <w:tcPr>
            <w:tcW w:w="3926" w:type="dxa"/>
            <w:vMerge/>
            <w:tcBorders>
              <w:top w:val="nil"/>
              <w:left w:val="single" w:sz="8" w:space="0" w:color="auto"/>
              <w:bottom w:val="single" w:sz="8" w:space="0" w:color="000000"/>
              <w:right w:val="single" w:sz="4" w:space="0" w:color="auto"/>
            </w:tcBorders>
            <w:vAlign w:val="center"/>
            <w:hideMark/>
          </w:tcPr>
          <w:p w14:paraId="69986582" w14:textId="77777777" w:rsidR="00B96700" w:rsidRPr="00AC0422" w:rsidRDefault="00B96700" w:rsidP="00391BF1">
            <w:pPr>
              <w:rPr>
                <w:rFonts w:asciiTheme="minorHAnsi" w:hAnsiTheme="minorHAnsi" w:cstheme="minorHAnsi"/>
                <w:color w:val="000000"/>
                <w:szCs w:val="20"/>
              </w:rPr>
            </w:pPr>
          </w:p>
        </w:tc>
        <w:tc>
          <w:tcPr>
            <w:tcW w:w="5791" w:type="dxa"/>
            <w:tcBorders>
              <w:top w:val="nil"/>
              <w:left w:val="nil"/>
              <w:bottom w:val="single" w:sz="4" w:space="0" w:color="auto"/>
              <w:right w:val="single" w:sz="8" w:space="0" w:color="auto"/>
            </w:tcBorders>
            <w:shd w:val="clear" w:color="auto" w:fill="auto"/>
            <w:vAlign w:val="center"/>
            <w:hideMark/>
          </w:tcPr>
          <w:p w14:paraId="167B131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Role of the TCCC in overseeing NAP implementation.</w:t>
            </w:r>
          </w:p>
        </w:tc>
      </w:tr>
      <w:tr w:rsidR="00B96700" w:rsidRPr="00AC0422" w14:paraId="5E277BC8" w14:textId="77777777" w:rsidTr="00391BF1">
        <w:trPr>
          <w:trHeight w:val="251"/>
        </w:trPr>
        <w:tc>
          <w:tcPr>
            <w:tcW w:w="3926" w:type="dxa"/>
            <w:vMerge/>
            <w:tcBorders>
              <w:top w:val="nil"/>
              <w:left w:val="single" w:sz="8" w:space="0" w:color="auto"/>
              <w:bottom w:val="single" w:sz="8" w:space="0" w:color="000000"/>
              <w:right w:val="single" w:sz="4" w:space="0" w:color="auto"/>
            </w:tcBorders>
            <w:vAlign w:val="center"/>
            <w:hideMark/>
          </w:tcPr>
          <w:p w14:paraId="1F71D633" w14:textId="77777777" w:rsidR="00B96700" w:rsidRPr="00AC0422" w:rsidRDefault="00B96700" w:rsidP="00391BF1">
            <w:pPr>
              <w:rPr>
                <w:rFonts w:asciiTheme="minorHAnsi" w:hAnsiTheme="minorHAnsi" w:cstheme="minorHAnsi"/>
                <w:color w:val="000000"/>
                <w:szCs w:val="20"/>
              </w:rPr>
            </w:pPr>
          </w:p>
        </w:tc>
        <w:tc>
          <w:tcPr>
            <w:tcW w:w="5791" w:type="dxa"/>
            <w:tcBorders>
              <w:top w:val="nil"/>
              <w:left w:val="nil"/>
              <w:bottom w:val="single" w:sz="8" w:space="0" w:color="auto"/>
              <w:right w:val="single" w:sz="8" w:space="0" w:color="auto"/>
            </w:tcBorders>
            <w:shd w:val="clear" w:color="auto" w:fill="auto"/>
            <w:vAlign w:val="center"/>
            <w:hideMark/>
          </w:tcPr>
          <w:p w14:paraId="6D33253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Enhancing inter-ministerial and sub-national coordination.</w:t>
            </w:r>
          </w:p>
        </w:tc>
      </w:tr>
      <w:tr w:rsidR="00B96700" w:rsidRPr="00AC0422" w14:paraId="5D54DE4F" w14:textId="77777777" w:rsidTr="00391BF1">
        <w:trPr>
          <w:trHeight w:val="239"/>
        </w:trPr>
        <w:tc>
          <w:tcPr>
            <w:tcW w:w="3926" w:type="dxa"/>
            <w:vMerge w:val="restart"/>
            <w:tcBorders>
              <w:top w:val="nil"/>
              <w:left w:val="single" w:sz="8" w:space="0" w:color="auto"/>
              <w:bottom w:val="single" w:sz="8" w:space="0" w:color="000000"/>
              <w:right w:val="single" w:sz="4" w:space="0" w:color="auto"/>
            </w:tcBorders>
            <w:shd w:val="clear" w:color="auto" w:fill="auto"/>
            <w:vAlign w:val="center"/>
            <w:hideMark/>
          </w:tcPr>
          <w:p w14:paraId="2BC4888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Monitoring, Evaluation, and Learning (MEL) for Adaptation</w:t>
            </w:r>
          </w:p>
        </w:tc>
        <w:tc>
          <w:tcPr>
            <w:tcW w:w="5791" w:type="dxa"/>
            <w:tcBorders>
              <w:top w:val="nil"/>
              <w:left w:val="nil"/>
              <w:bottom w:val="single" w:sz="4" w:space="0" w:color="auto"/>
              <w:right w:val="single" w:sz="8" w:space="0" w:color="auto"/>
            </w:tcBorders>
            <w:shd w:val="clear" w:color="auto" w:fill="auto"/>
            <w:vAlign w:val="center"/>
            <w:hideMark/>
          </w:tcPr>
          <w:p w14:paraId="2DB6EAA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adaptation M&amp;E indicators.</w:t>
            </w:r>
          </w:p>
        </w:tc>
      </w:tr>
      <w:tr w:rsidR="00B96700" w:rsidRPr="00AC0422" w14:paraId="0A3FACCA" w14:textId="77777777" w:rsidTr="00391BF1">
        <w:trPr>
          <w:trHeight w:val="239"/>
        </w:trPr>
        <w:tc>
          <w:tcPr>
            <w:tcW w:w="3926" w:type="dxa"/>
            <w:vMerge/>
            <w:tcBorders>
              <w:top w:val="nil"/>
              <w:left w:val="single" w:sz="8" w:space="0" w:color="auto"/>
              <w:bottom w:val="single" w:sz="8" w:space="0" w:color="000000"/>
              <w:right w:val="single" w:sz="4" w:space="0" w:color="auto"/>
            </w:tcBorders>
            <w:vAlign w:val="center"/>
            <w:hideMark/>
          </w:tcPr>
          <w:p w14:paraId="1BE16E25" w14:textId="77777777" w:rsidR="00B96700" w:rsidRPr="00AC0422" w:rsidRDefault="00B96700" w:rsidP="00391BF1">
            <w:pPr>
              <w:rPr>
                <w:rFonts w:asciiTheme="minorHAnsi" w:hAnsiTheme="minorHAnsi" w:cstheme="minorHAnsi"/>
                <w:color w:val="000000"/>
                <w:szCs w:val="20"/>
              </w:rPr>
            </w:pPr>
          </w:p>
        </w:tc>
        <w:tc>
          <w:tcPr>
            <w:tcW w:w="5791" w:type="dxa"/>
            <w:tcBorders>
              <w:top w:val="nil"/>
              <w:left w:val="nil"/>
              <w:bottom w:val="single" w:sz="4" w:space="0" w:color="auto"/>
              <w:right w:val="single" w:sz="8" w:space="0" w:color="auto"/>
            </w:tcBorders>
            <w:shd w:val="clear" w:color="auto" w:fill="auto"/>
            <w:vAlign w:val="center"/>
            <w:hideMark/>
          </w:tcPr>
          <w:p w14:paraId="324B351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Tracking progress using the NAP M&amp;E framework.</w:t>
            </w:r>
          </w:p>
        </w:tc>
      </w:tr>
      <w:tr w:rsidR="00B96700" w:rsidRPr="00AC0422" w14:paraId="1A26BE4B" w14:textId="77777777" w:rsidTr="00391BF1">
        <w:trPr>
          <w:trHeight w:val="251"/>
        </w:trPr>
        <w:tc>
          <w:tcPr>
            <w:tcW w:w="3926" w:type="dxa"/>
            <w:vMerge/>
            <w:tcBorders>
              <w:top w:val="nil"/>
              <w:left w:val="single" w:sz="8" w:space="0" w:color="auto"/>
              <w:bottom w:val="single" w:sz="8" w:space="0" w:color="000000"/>
              <w:right w:val="single" w:sz="4" w:space="0" w:color="auto"/>
            </w:tcBorders>
            <w:vAlign w:val="center"/>
            <w:hideMark/>
          </w:tcPr>
          <w:p w14:paraId="47D46C2B" w14:textId="77777777" w:rsidR="00B96700" w:rsidRPr="00AC0422" w:rsidRDefault="00B96700" w:rsidP="00391BF1">
            <w:pPr>
              <w:rPr>
                <w:rFonts w:asciiTheme="minorHAnsi" w:hAnsiTheme="minorHAnsi" w:cstheme="minorHAnsi"/>
                <w:color w:val="000000"/>
                <w:szCs w:val="20"/>
              </w:rPr>
            </w:pPr>
          </w:p>
        </w:tc>
        <w:tc>
          <w:tcPr>
            <w:tcW w:w="5791" w:type="dxa"/>
            <w:tcBorders>
              <w:top w:val="nil"/>
              <w:left w:val="nil"/>
              <w:bottom w:val="single" w:sz="8" w:space="0" w:color="auto"/>
              <w:right w:val="single" w:sz="8" w:space="0" w:color="auto"/>
            </w:tcBorders>
            <w:shd w:val="clear" w:color="auto" w:fill="auto"/>
            <w:vAlign w:val="center"/>
            <w:hideMark/>
          </w:tcPr>
          <w:p w14:paraId="3B467C9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Data collection and reporting for adaptation interventions.</w:t>
            </w:r>
          </w:p>
        </w:tc>
      </w:tr>
      <w:tr w:rsidR="00B96700" w:rsidRPr="00AC0422" w14:paraId="5E0F6387" w14:textId="77777777" w:rsidTr="00391BF1">
        <w:trPr>
          <w:trHeight w:val="239"/>
        </w:trPr>
        <w:tc>
          <w:tcPr>
            <w:tcW w:w="3926" w:type="dxa"/>
            <w:vMerge w:val="restart"/>
            <w:tcBorders>
              <w:top w:val="nil"/>
              <w:left w:val="single" w:sz="8" w:space="0" w:color="auto"/>
              <w:bottom w:val="single" w:sz="8" w:space="0" w:color="000000"/>
              <w:right w:val="single" w:sz="4" w:space="0" w:color="auto"/>
            </w:tcBorders>
            <w:shd w:val="clear" w:color="auto" w:fill="auto"/>
            <w:vAlign w:val="center"/>
            <w:hideMark/>
          </w:tcPr>
          <w:p w14:paraId="5B5F0C6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NAP Knowledge Sharing and Data Management</w:t>
            </w:r>
          </w:p>
        </w:tc>
        <w:tc>
          <w:tcPr>
            <w:tcW w:w="5791" w:type="dxa"/>
            <w:tcBorders>
              <w:top w:val="nil"/>
              <w:left w:val="nil"/>
              <w:bottom w:val="single" w:sz="4" w:space="0" w:color="auto"/>
              <w:right w:val="single" w:sz="8" w:space="0" w:color="auto"/>
            </w:tcBorders>
            <w:shd w:val="clear" w:color="auto" w:fill="auto"/>
            <w:vAlign w:val="center"/>
            <w:hideMark/>
          </w:tcPr>
          <w:p w14:paraId="686AA38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Best practices in adaptation knowledge management.</w:t>
            </w:r>
          </w:p>
        </w:tc>
      </w:tr>
      <w:tr w:rsidR="00B96700" w:rsidRPr="00AC0422" w14:paraId="17A5C23D" w14:textId="77777777" w:rsidTr="00391BF1">
        <w:trPr>
          <w:trHeight w:val="239"/>
        </w:trPr>
        <w:tc>
          <w:tcPr>
            <w:tcW w:w="3926" w:type="dxa"/>
            <w:vMerge/>
            <w:tcBorders>
              <w:top w:val="nil"/>
              <w:left w:val="single" w:sz="8" w:space="0" w:color="auto"/>
              <w:bottom w:val="single" w:sz="8" w:space="0" w:color="000000"/>
              <w:right w:val="single" w:sz="4" w:space="0" w:color="auto"/>
            </w:tcBorders>
            <w:vAlign w:val="center"/>
            <w:hideMark/>
          </w:tcPr>
          <w:p w14:paraId="0F6A1FD1" w14:textId="77777777" w:rsidR="00B96700" w:rsidRPr="00AC0422" w:rsidRDefault="00B96700" w:rsidP="00391BF1">
            <w:pPr>
              <w:rPr>
                <w:rFonts w:asciiTheme="minorHAnsi" w:hAnsiTheme="minorHAnsi" w:cstheme="minorHAnsi"/>
                <w:color w:val="000000"/>
                <w:szCs w:val="20"/>
              </w:rPr>
            </w:pPr>
          </w:p>
        </w:tc>
        <w:tc>
          <w:tcPr>
            <w:tcW w:w="5791" w:type="dxa"/>
            <w:tcBorders>
              <w:top w:val="nil"/>
              <w:left w:val="nil"/>
              <w:bottom w:val="single" w:sz="4" w:space="0" w:color="auto"/>
              <w:right w:val="single" w:sz="8" w:space="0" w:color="auto"/>
            </w:tcBorders>
            <w:shd w:val="clear" w:color="auto" w:fill="auto"/>
            <w:vAlign w:val="center"/>
            <w:hideMark/>
          </w:tcPr>
          <w:p w14:paraId="75534C5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Use of climate information systems and decision-support tools.</w:t>
            </w:r>
          </w:p>
        </w:tc>
      </w:tr>
      <w:tr w:rsidR="00B96700" w:rsidRPr="00AC0422" w14:paraId="2166DC3D" w14:textId="77777777" w:rsidTr="00391BF1">
        <w:trPr>
          <w:trHeight w:val="251"/>
        </w:trPr>
        <w:tc>
          <w:tcPr>
            <w:tcW w:w="3926" w:type="dxa"/>
            <w:vMerge/>
            <w:tcBorders>
              <w:top w:val="nil"/>
              <w:left w:val="single" w:sz="8" w:space="0" w:color="auto"/>
              <w:bottom w:val="single" w:sz="8" w:space="0" w:color="000000"/>
              <w:right w:val="single" w:sz="4" w:space="0" w:color="auto"/>
            </w:tcBorders>
            <w:vAlign w:val="center"/>
            <w:hideMark/>
          </w:tcPr>
          <w:p w14:paraId="4D195D06" w14:textId="77777777" w:rsidR="00B96700" w:rsidRPr="00AC0422" w:rsidRDefault="00B96700" w:rsidP="00391BF1">
            <w:pPr>
              <w:rPr>
                <w:rFonts w:asciiTheme="minorHAnsi" w:hAnsiTheme="minorHAnsi" w:cstheme="minorHAnsi"/>
                <w:color w:val="000000"/>
                <w:szCs w:val="20"/>
              </w:rPr>
            </w:pPr>
          </w:p>
        </w:tc>
        <w:tc>
          <w:tcPr>
            <w:tcW w:w="5791" w:type="dxa"/>
            <w:tcBorders>
              <w:top w:val="nil"/>
              <w:left w:val="nil"/>
              <w:bottom w:val="single" w:sz="8" w:space="0" w:color="auto"/>
              <w:right w:val="single" w:sz="8" w:space="0" w:color="auto"/>
            </w:tcBorders>
            <w:shd w:val="clear" w:color="auto" w:fill="auto"/>
            <w:vAlign w:val="center"/>
            <w:hideMark/>
          </w:tcPr>
          <w:p w14:paraId="6112983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Linking scientific research with policy-making.</w:t>
            </w:r>
          </w:p>
        </w:tc>
      </w:tr>
      <w:tr w:rsidR="00B96700" w:rsidRPr="00AC0422" w14:paraId="3241F6B1" w14:textId="77777777" w:rsidTr="00391BF1">
        <w:trPr>
          <w:trHeight w:val="239"/>
        </w:trPr>
        <w:tc>
          <w:tcPr>
            <w:tcW w:w="3926" w:type="dxa"/>
            <w:vMerge w:val="restart"/>
            <w:tcBorders>
              <w:top w:val="nil"/>
              <w:left w:val="single" w:sz="8" w:space="0" w:color="auto"/>
              <w:bottom w:val="single" w:sz="8" w:space="0" w:color="000000"/>
              <w:right w:val="single" w:sz="4" w:space="0" w:color="auto"/>
            </w:tcBorders>
            <w:shd w:val="clear" w:color="auto" w:fill="auto"/>
            <w:vAlign w:val="center"/>
            <w:hideMark/>
          </w:tcPr>
          <w:p w14:paraId="021BCA9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International Best Practices and Case Studies in Adaptation</w:t>
            </w:r>
          </w:p>
        </w:tc>
        <w:tc>
          <w:tcPr>
            <w:tcW w:w="5791" w:type="dxa"/>
            <w:tcBorders>
              <w:top w:val="nil"/>
              <w:left w:val="nil"/>
              <w:bottom w:val="single" w:sz="4" w:space="0" w:color="auto"/>
              <w:right w:val="single" w:sz="8" w:space="0" w:color="auto"/>
            </w:tcBorders>
            <w:shd w:val="clear" w:color="auto" w:fill="auto"/>
            <w:vAlign w:val="center"/>
            <w:hideMark/>
          </w:tcPr>
          <w:p w14:paraId="7F3869D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Reviewing successful NAP processes from similar contexts.</w:t>
            </w:r>
          </w:p>
        </w:tc>
      </w:tr>
      <w:tr w:rsidR="00B96700" w:rsidRPr="00AC0422" w14:paraId="2DD6A7C0" w14:textId="77777777" w:rsidTr="00391BF1">
        <w:trPr>
          <w:trHeight w:val="239"/>
        </w:trPr>
        <w:tc>
          <w:tcPr>
            <w:tcW w:w="3926" w:type="dxa"/>
            <w:vMerge/>
            <w:tcBorders>
              <w:top w:val="nil"/>
              <w:left w:val="single" w:sz="8" w:space="0" w:color="auto"/>
              <w:bottom w:val="single" w:sz="8" w:space="0" w:color="000000"/>
              <w:right w:val="single" w:sz="4" w:space="0" w:color="auto"/>
            </w:tcBorders>
            <w:vAlign w:val="center"/>
            <w:hideMark/>
          </w:tcPr>
          <w:p w14:paraId="27A19F92" w14:textId="77777777" w:rsidR="00B96700" w:rsidRPr="00AC0422" w:rsidRDefault="00B96700" w:rsidP="00391BF1">
            <w:pPr>
              <w:rPr>
                <w:rFonts w:asciiTheme="minorHAnsi" w:hAnsiTheme="minorHAnsi" w:cstheme="minorHAnsi"/>
                <w:b/>
                <w:bCs/>
                <w:color w:val="000000"/>
                <w:szCs w:val="20"/>
              </w:rPr>
            </w:pPr>
          </w:p>
        </w:tc>
        <w:tc>
          <w:tcPr>
            <w:tcW w:w="5791" w:type="dxa"/>
            <w:tcBorders>
              <w:top w:val="nil"/>
              <w:left w:val="nil"/>
              <w:bottom w:val="single" w:sz="4" w:space="0" w:color="auto"/>
              <w:right w:val="single" w:sz="8" w:space="0" w:color="auto"/>
            </w:tcBorders>
            <w:shd w:val="clear" w:color="auto" w:fill="auto"/>
            <w:vAlign w:val="center"/>
            <w:hideMark/>
          </w:tcPr>
          <w:p w14:paraId="7E73718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Scenario-based planning exercises and role-playing.</w:t>
            </w:r>
          </w:p>
        </w:tc>
      </w:tr>
      <w:tr w:rsidR="00B96700" w:rsidRPr="00AC0422" w14:paraId="417F3465" w14:textId="77777777" w:rsidTr="00391BF1">
        <w:trPr>
          <w:trHeight w:val="251"/>
        </w:trPr>
        <w:tc>
          <w:tcPr>
            <w:tcW w:w="3926" w:type="dxa"/>
            <w:vMerge/>
            <w:tcBorders>
              <w:top w:val="nil"/>
              <w:left w:val="single" w:sz="8" w:space="0" w:color="auto"/>
              <w:bottom w:val="single" w:sz="8" w:space="0" w:color="000000"/>
              <w:right w:val="single" w:sz="4" w:space="0" w:color="auto"/>
            </w:tcBorders>
            <w:vAlign w:val="center"/>
            <w:hideMark/>
          </w:tcPr>
          <w:p w14:paraId="1EEE3FA7" w14:textId="77777777" w:rsidR="00B96700" w:rsidRPr="00AC0422" w:rsidRDefault="00B96700" w:rsidP="00391BF1">
            <w:pPr>
              <w:rPr>
                <w:rFonts w:asciiTheme="minorHAnsi" w:hAnsiTheme="minorHAnsi" w:cstheme="minorHAnsi"/>
                <w:b/>
                <w:bCs/>
                <w:color w:val="000000"/>
                <w:szCs w:val="20"/>
              </w:rPr>
            </w:pPr>
          </w:p>
        </w:tc>
        <w:tc>
          <w:tcPr>
            <w:tcW w:w="5791" w:type="dxa"/>
            <w:tcBorders>
              <w:top w:val="nil"/>
              <w:left w:val="nil"/>
              <w:bottom w:val="single" w:sz="8" w:space="0" w:color="auto"/>
              <w:right w:val="single" w:sz="8" w:space="0" w:color="auto"/>
            </w:tcBorders>
            <w:shd w:val="clear" w:color="auto" w:fill="auto"/>
            <w:vAlign w:val="center"/>
            <w:hideMark/>
          </w:tcPr>
          <w:p w14:paraId="350CA76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Lessons learned from other Least Developed Countries (LDCs).</w:t>
            </w:r>
          </w:p>
        </w:tc>
      </w:tr>
    </w:tbl>
    <w:p w14:paraId="4809EAF2" w14:textId="77777777" w:rsidR="00B96700" w:rsidRPr="00AC0422" w:rsidRDefault="00B96700" w:rsidP="00B96700">
      <w:pPr>
        <w:tabs>
          <w:tab w:val="num" w:pos="720"/>
          <w:tab w:val="num" w:pos="1440"/>
        </w:tabs>
        <w:spacing w:after="120"/>
        <w:ind w:right="-28"/>
        <w:rPr>
          <w:rFonts w:asciiTheme="minorHAnsi" w:hAnsiTheme="minorHAnsi" w:cstheme="minorHAnsi"/>
          <w:szCs w:val="20"/>
          <w:lang w:eastAsia="en-GB"/>
        </w:rPr>
      </w:pPr>
    </w:p>
    <w:bookmarkEnd w:id="20"/>
    <w:p w14:paraId="3F87211A" w14:textId="77777777" w:rsidR="00B96700" w:rsidRPr="00AC0422" w:rsidRDefault="00B96700" w:rsidP="00B96700">
      <w:pPr>
        <w:ind w:right="-28"/>
        <w:rPr>
          <w:rFonts w:asciiTheme="minorHAnsi" w:hAnsiTheme="minorHAnsi" w:cstheme="minorHAnsi"/>
          <w:szCs w:val="20"/>
          <w:lang w:eastAsia="en-GB"/>
        </w:rPr>
      </w:pPr>
      <w:r w:rsidRPr="00AC0422">
        <w:rPr>
          <w:rFonts w:asciiTheme="minorHAnsi" w:hAnsiTheme="minorHAnsi" w:cstheme="minorHAnsi"/>
          <w:szCs w:val="20"/>
          <w:lang w:eastAsia="en-GB"/>
        </w:rPr>
        <w:t>The training workshops will ensure inclusive participation, targeting a gender-balanced representation. Special efforts will be made to increase women’s participation in technical discussions. Youth, Indigenous groups, and marginalized communities will also be encouraged to participate.</w:t>
      </w:r>
    </w:p>
    <w:p w14:paraId="3E0DBE75" w14:textId="77777777" w:rsidR="00B96700" w:rsidRPr="00AC0422" w:rsidRDefault="00B96700" w:rsidP="00B96700">
      <w:pPr>
        <w:ind w:right="-28"/>
        <w:rPr>
          <w:rFonts w:asciiTheme="minorHAnsi" w:hAnsiTheme="minorHAnsi" w:cstheme="minorHAnsi"/>
          <w:szCs w:val="20"/>
          <w:lang w:eastAsia="en-GB"/>
        </w:rPr>
      </w:pPr>
    </w:p>
    <w:tbl>
      <w:tblPr>
        <w:tblW w:w="9140" w:type="dxa"/>
        <w:tblLook w:val="04A0" w:firstRow="1" w:lastRow="0" w:firstColumn="1" w:lastColumn="0" w:noHBand="0" w:noVBand="1"/>
      </w:tblPr>
      <w:tblGrid>
        <w:gridCol w:w="3740"/>
        <w:gridCol w:w="2340"/>
        <w:gridCol w:w="3060"/>
      </w:tblGrid>
      <w:tr w:rsidR="00B96700" w:rsidRPr="00AC0422" w14:paraId="1624CB00" w14:textId="77777777" w:rsidTr="00391BF1">
        <w:trPr>
          <w:trHeight w:val="600"/>
        </w:trPr>
        <w:tc>
          <w:tcPr>
            <w:tcW w:w="374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30506A71"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 Group</w:t>
            </w:r>
          </w:p>
        </w:tc>
        <w:tc>
          <w:tcPr>
            <w:tcW w:w="2340" w:type="dxa"/>
            <w:tcBorders>
              <w:top w:val="single" w:sz="4" w:space="0" w:color="auto"/>
              <w:left w:val="nil"/>
              <w:bottom w:val="single" w:sz="4" w:space="0" w:color="auto"/>
              <w:right w:val="single" w:sz="4" w:space="0" w:color="auto"/>
            </w:tcBorders>
            <w:shd w:val="clear" w:color="auto" w:fill="auto"/>
            <w:vAlign w:val="center"/>
            <w:hideMark/>
          </w:tcPr>
          <w:p w14:paraId="18104606"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Participants (Per Workshop)</w:t>
            </w:r>
          </w:p>
        </w:tc>
        <w:tc>
          <w:tcPr>
            <w:tcW w:w="3060" w:type="dxa"/>
            <w:tcBorders>
              <w:top w:val="single" w:sz="4" w:space="0" w:color="auto"/>
              <w:left w:val="nil"/>
              <w:bottom w:val="single" w:sz="4" w:space="0" w:color="auto"/>
              <w:right w:val="single" w:sz="8" w:space="0" w:color="auto"/>
            </w:tcBorders>
            <w:shd w:val="clear" w:color="auto" w:fill="auto"/>
            <w:vAlign w:val="center"/>
            <w:hideMark/>
          </w:tcPr>
          <w:p w14:paraId="435B06E8"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Gender Target (Men/Women %)</w:t>
            </w:r>
          </w:p>
        </w:tc>
      </w:tr>
      <w:tr w:rsidR="00B96700" w:rsidRPr="00AC0422" w14:paraId="1A72CE79" w14:textId="77777777" w:rsidTr="00391BF1">
        <w:trPr>
          <w:trHeight w:val="300"/>
        </w:trPr>
        <w:tc>
          <w:tcPr>
            <w:tcW w:w="3740" w:type="dxa"/>
            <w:tcBorders>
              <w:top w:val="nil"/>
              <w:left w:val="single" w:sz="8" w:space="0" w:color="auto"/>
              <w:bottom w:val="single" w:sz="4" w:space="0" w:color="auto"/>
              <w:right w:val="single" w:sz="4" w:space="0" w:color="auto"/>
            </w:tcBorders>
            <w:shd w:val="clear" w:color="auto" w:fill="auto"/>
            <w:vAlign w:val="center"/>
            <w:hideMark/>
          </w:tcPr>
          <w:p w14:paraId="1C8C74E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TCCC Members</w:t>
            </w:r>
          </w:p>
        </w:tc>
        <w:tc>
          <w:tcPr>
            <w:tcW w:w="2340" w:type="dxa"/>
            <w:tcBorders>
              <w:top w:val="nil"/>
              <w:left w:val="nil"/>
              <w:bottom w:val="single" w:sz="4" w:space="0" w:color="auto"/>
              <w:right w:val="single" w:sz="4" w:space="0" w:color="auto"/>
            </w:tcBorders>
            <w:shd w:val="clear" w:color="auto" w:fill="auto"/>
            <w:vAlign w:val="center"/>
            <w:hideMark/>
          </w:tcPr>
          <w:p w14:paraId="536C7FDA"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20</w:t>
            </w:r>
          </w:p>
        </w:tc>
        <w:tc>
          <w:tcPr>
            <w:tcW w:w="3060" w:type="dxa"/>
            <w:tcBorders>
              <w:top w:val="nil"/>
              <w:left w:val="nil"/>
              <w:bottom w:val="single" w:sz="4" w:space="0" w:color="auto"/>
              <w:right w:val="single" w:sz="8" w:space="0" w:color="auto"/>
            </w:tcBorders>
            <w:shd w:val="clear" w:color="auto" w:fill="auto"/>
            <w:vAlign w:val="center"/>
            <w:hideMark/>
          </w:tcPr>
          <w:p w14:paraId="0471BD2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r>
      <w:tr w:rsidR="00B96700" w:rsidRPr="00AC0422" w14:paraId="31BED4F4" w14:textId="77777777" w:rsidTr="00391BF1">
        <w:trPr>
          <w:trHeight w:val="300"/>
        </w:trPr>
        <w:tc>
          <w:tcPr>
            <w:tcW w:w="3740" w:type="dxa"/>
            <w:tcBorders>
              <w:top w:val="nil"/>
              <w:left w:val="single" w:sz="8" w:space="0" w:color="auto"/>
              <w:bottom w:val="single" w:sz="4" w:space="0" w:color="auto"/>
              <w:right w:val="single" w:sz="4" w:space="0" w:color="auto"/>
            </w:tcBorders>
            <w:shd w:val="clear" w:color="auto" w:fill="auto"/>
            <w:vAlign w:val="center"/>
            <w:hideMark/>
          </w:tcPr>
          <w:p w14:paraId="4167C61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NTC Members</w:t>
            </w:r>
          </w:p>
        </w:tc>
        <w:tc>
          <w:tcPr>
            <w:tcW w:w="2340" w:type="dxa"/>
            <w:tcBorders>
              <w:top w:val="nil"/>
              <w:left w:val="nil"/>
              <w:bottom w:val="single" w:sz="4" w:space="0" w:color="auto"/>
              <w:right w:val="single" w:sz="4" w:space="0" w:color="auto"/>
            </w:tcBorders>
            <w:shd w:val="clear" w:color="auto" w:fill="auto"/>
            <w:vAlign w:val="center"/>
            <w:hideMark/>
          </w:tcPr>
          <w:p w14:paraId="4527E4F5"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30</w:t>
            </w:r>
          </w:p>
        </w:tc>
        <w:tc>
          <w:tcPr>
            <w:tcW w:w="3060" w:type="dxa"/>
            <w:tcBorders>
              <w:top w:val="nil"/>
              <w:left w:val="nil"/>
              <w:bottom w:val="single" w:sz="4" w:space="0" w:color="auto"/>
              <w:right w:val="single" w:sz="8" w:space="0" w:color="auto"/>
            </w:tcBorders>
            <w:shd w:val="clear" w:color="auto" w:fill="auto"/>
            <w:vAlign w:val="center"/>
            <w:hideMark/>
          </w:tcPr>
          <w:p w14:paraId="26875B1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15A5029A" w14:textId="77777777" w:rsidTr="00391BF1">
        <w:trPr>
          <w:trHeight w:val="300"/>
        </w:trPr>
        <w:tc>
          <w:tcPr>
            <w:tcW w:w="3740" w:type="dxa"/>
            <w:tcBorders>
              <w:top w:val="nil"/>
              <w:left w:val="single" w:sz="8" w:space="0" w:color="auto"/>
              <w:bottom w:val="single" w:sz="4" w:space="0" w:color="auto"/>
              <w:right w:val="single" w:sz="4" w:space="0" w:color="auto"/>
            </w:tcBorders>
            <w:shd w:val="clear" w:color="auto" w:fill="auto"/>
            <w:vAlign w:val="center"/>
            <w:hideMark/>
          </w:tcPr>
          <w:p w14:paraId="00FC6CA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Representatives</w:t>
            </w:r>
          </w:p>
        </w:tc>
        <w:tc>
          <w:tcPr>
            <w:tcW w:w="2340" w:type="dxa"/>
            <w:tcBorders>
              <w:top w:val="nil"/>
              <w:left w:val="nil"/>
              <w:bottom w:val="single" w:sz="4" w:space="0" w:color="auto"/>
              <w:right w:val="single" w:sz="4" w:space="0" w:color="auto"/>
            </w:tcBorders>
            <w:shd w:val="clear" w:color="auto" w:fill="auto"/>
            <w:vAlign w:val="center"/>
            <w:hideMark/>
          </w:tcPr>
          <w:p w14:paraId="6EE23975"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3060" w:type="dxa"/>
            <w:tcBorders>
              <w:top w:val="nil"/>
              <w:left w:val="nil"/>
              <w:bottom w:val="single" w:sz="4" w:space="0" w:color="auto"/>
              <w:right w:val="single" w:sz="8" w:space="0" w:color="auto"/>
            </w:tcBorders>
            <w:shd w:val="clear" w:color="auto" w:fill="auto"/>
            <w:vAlign w:val="center"/>
            <w:hideMark/>
          </w:tcPr>
          <w:p w14:paraId="77C32D1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r>
      <w:tr w:rsidR="00B96700" w:rsidRPr="00AC0422" w14:paraId="35320400" w14:textId="77777777" w:rsidTr="00391BF1">
        <w:trPr>
          <w:trHeight w:val="300"/>
        </w:trPr>
        <w:tc>
          <w:tcPr>
            <w:tcW w:w="3740" w:type="dxa"/>
            <w:tcBorders>
              <w:top w:val="nil"/>
              <w:left w:val="single" w:sz="8" w:space="0" w:color="auto"/>
              <w:bottom w:val="single" w:sz="4" w:space="0" w:color="auto"/>
              <w:right w:val="single" w:sz="4" w:space="0" w:color="auto"/>
            </w:tcBorders>
            <w:shd w:val="clear" w:color="auto" w:fill="auto"/>
            <w:vAlign w:val="center"/>
            <w:hideMark/>
          </w:tcPr>
          <w:p w14:paraId="7661998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Technical Experts and Advisors</w:t>
            </w:r>
          </w:p>
        </w:tc>
        <w:tc>
          <w:tcPr>
            <w:tcW w:w="2340" w:type="dxa"/>
            <w:tcBorders>
              <w:top w:val="nil"/>
              <w:left w:val="nil"/>
              <w:bottom w:val="single" w:sz="4" w:space="0" w:color="auto"/>
              <w:right w:val="single" w:sz="4" w:space="0" w:color="auto"/>
            </w:tcBorders>
            <w:shd w:val="clear" w:color="auto" w:fill="auto"/>
            <w:vAlign w:val="center"/>
            <w:hideMark/>
          </w:tcPr>
          <w:p w14:paraId="194C7444"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060" w:type="dxa"/>
            <w:tcBorders>
              <w:top w:val="nil"/>
              <w:left w:val="nil"/>
              <w:bottom w:val="single" w:sz="4" w:space="0" w:color="auto"/>
              <w:right w:val="single" w:sz="8" w:space="0" w:color="auto"/>
            </w:tcBorders>
            <w:shd w:val="clear" w:color="auto" w:fill="auto"/>
            <w:vAlign w:val="center"/>
            <w:hideMark/>
          </w:tcPr>
          <w:p w14:paraId="2515177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1297A082" w14:textId="77777777" w:rsidTr="00391BF1">
        <w:trPr>
          <w:trHeight w:val="300"/>
        </w:trPr>
        <w:tc>
          <w:tcPr>
            <w:tcW w:w="3740" w:type="dxa"/>
            <w:tcBorders>
              <w:top w:val="nil"/>
              <w:left w:val="single" w:sz="8" w:space="0" w:color="auto"/>
              <w:bottom w:val="single" w:sz="4" w:space="0" w:color="auto"/>
              <w:right w:val="single" w:sz="4" w:space="0" w:color="auto"/>
            </w:tcBorders>
            <w:shd w:val="clear" w:color="auto" w:fill="auto"/>
            <w:vAlign w:val="center"/>
            <w:hideMark/>
          </w:tcPr>
          <w:p w14:paraId="5AD050A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CSO and NGO Representatives</w:t>
            </w:r>
          </w:p>
        </w:tc>
        <w:tc>
          <w:tcPr>
            <w:tcW w:w="2340" w:type="dxa"/>
            <w:tcBorders>
              <w:top w:val="nil"/>
              <w:left w:val="nil"/>
              <w:bottom w:val="single" w:sz="4" w:space="0" w:color="auto"/>
              <w:right w:val="single" w:sz="4" w:space="0" w:color="auto"/>
            </w:tcBorders>
            <w:shd w:val="clear" w:color="auto" w:fill="auto"/>
            <w:vAlign w:val="center"/>
            <w:hideMark/>
          </w:tcPr>
          <w:p w14:paraId="04B43DDE"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060" w:type="dxa"/>
            <w:tcBorders>
              <w:top w:val="nil"/>
              <w:left w:val="nil"/>
              <w:bottom w:val="single" w:sz="4" w:space="0" w:color="auto"/>
              <w:right w:val="single" w:sz="8" w:space="0" w:color="auto"/>
            </w:tcBorders>
            <w:shd w:val="clear" w:color="auto" w:fill="auto"/>
            <w:vAlign w:val="center"/>
            <w:hideMark/>
          </w:tcPr>
          <w:p w14:paraId="11B61D8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40% Men, 60% Women</w:t>
            </w:r>
          </w:p>
        </w:tc>
      </w:tr>
      <w:tr w:rsidR="00B96700" w:rsidRPr="00AC0422" w14:paraId="13DF9420" w14:textId="77777777" w:rsidTr="00391BF1">
        <w:trPr>
          <w:trHeight w:val="300"/>
        </w:trPr>
        <w:tc>
          <w:tcPr>
            <w:tcW w:w="3740" w:type="dxa"/>
            <w:tcBorders>
              <w:top w:val="nil"/>
              <w:left w:val="single" w:sz="8" w:space="0" w:color="auto"/>
              <w:bottom w:val="single" w:sz="4" w:space="0" w:color="auto"/>
              <w:right w:val="single" w:sz="4" w:space="0" w:color="auto"/>
            </w:tcBorders>
            <w:shd w:val="clear" w:color="auto" w:fill="auto"/>
            <w:vAlign w:val="center"/>
            <w:hideMark/>
          </w:tcPr>
          <w:p w14:paraId="5DF5543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Private Sector &amp; Academia</w:t>
            </w:r>
          </w:p>
        </w:tc>
        <w:tc>
          <w:tcPr>
            <w:tcW w:w="2340" w:type="dxa"/>
            <w:tcBorders>
              <w:top w:val="nil"/>
              <w:left w:val="nil"/>
              <w:bottom w:val="single" w:sz="4" w:space="0" w:color="auto"/>
              <w:right w:val="single" w:sz="4" w:space="0" w:color="auto"/>
            </w:tcBorders>
            <w:shd w:val="clear" w:color="auto" w:fill="auto"/>
            <w:vAlign w:val="center"/>
            <w:hideMark/>
          </w:tcPr>
          <w:p w14:paraId="27ADD77F"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3060" w:type="dxa"/>
            <w:tcBorders>
              <w:top w:val="nil"/>
              <w:left w:val="nil"/>
              <w:bottom w:val="single" w:sz="4" w:space="0" w:color="auto"/>
              <w:right w:val="single" w:sz="8" w:space="0" w:color="auto"/>
            </w:tcBorders>
            <w:shd w:val="clear" w:color="auto" w:fill="auto"/>
            <w:vAlign w:val="center"/>
            <w:hideMark/>
          </w:tcPr>
          <w:p w14:paraId="5330D81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22E1417C" w14:textId="77777777" w:rsidTr="00391BF1">
        <w:trPr>
          <w:trHeight w:val="300"/>
        </w:trPr>
        <w:tc>
          <w:tcPr>
            <w:tcW w:w="3740" w:type="dxa"/>
            <w:tcBorders>
              <w:top w:val="nil"/>
              <w:left w:val="single" w:sz="8" w:space="0" w:color="auto"/>
              <w:bottom w:val="single" w:sz="4" w:space="0" w:color="auto"/>
              <w:right w:val="single" w:sz="4" w:space="0" w:color="auto"/>
            </w:tcBorders>
            <w:shd w:val="clear" w:color="auto" w:fill="auto"/>
            <w:vAlign w:val="center"/>
            <w:hideMark/>
          </w:tcPr>
          <w:p w14:paraId="03423CF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Development Partners (Observers)</w:t>
            </w:r>
          </w:p>
        </w:tc>
        <w:tc>
          <w:tcPr>
            <w:tcW w:w="2340" w:type="dxa"/>
            <w:tcBorders>
              <w:top w:val="nil"/>
              <w:left w:val="nil"/>
              <w:bottom w:val="single" w:sz="4" w:space="0" w:color="auto"/>
              <w:right w:val="single" w:sz="4" w:space="0" w:color="auto"/>
            </w:tcBorders>
            <w:shd w:val="clear" w:color="auto" w:fill="auto"/>
            <w:vAlign w:val="center"/>
            <w:hideMark/>
          </w:tcPr>
          <w:p w14:paraId="1F2958B9"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3060" w:type="dxa"/>
            <w:tcBorders>
              <w:top w:val="nil"/>
              <w:left w:val="nil"/>
              <w:bottom w:val="single" w:sz="4" w:space="0" w:color="auto"/>
              <w:right w:val="single" w:sz="8" w:space="0" w:color="auto"/>
            </w:tcBorders>
            <w:shd w:val="clear" w:color="auto" w:fill="auto"/>
            <w:vAlign w:val="center"/>
            <w:hideMark/>
          </w:tcPr>
          <w:p w14:paraId="103D834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2FF19721" w14:textId="77777777" w:rsidTr="00391BF1">
        <w:trPr>
          <w:trHeight w:val="315"/>
        </w:trPr>
        <w:tc>
          <w:tcPr>
            <w:tcW w:w="3740" w:type="dxa"/>
            <w:tcBorders>
              <w:top w:val="nil"/>
              <w:left w:val="single" w:sz="8" w:space="0" w:color="auto"/>
              <w:bottom w:val="single" w:sz="8" w:space="0" w:color="auto"/>
              <w:right w:val="single" w:sz="4" w:space="0" w:color="auto"/>
            </w:tcBorders>
            <w:shd w:val="clear" w:color="auto" w:fill="auto"/>
            <w:vAlign w:val="center"/>
            <w:hideMark/>
          </w:tcPr>
          <w:p w14:paraId="369A08F7"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Total Participants (Per Workshop)</w:t>
            </w:r>
          </w:p>
        </w:tc>
        <w:tc>
          <w:tcPr>
            <w:tcW w:w="2340" w:type="dxa"/>
            <w:tcBorders>
              <w:top w:val="nil"/>
              <w:left w:val="nil"/>
              <w:bottom w:val="single" w:sz="8" w:space="0" w:color="auto"/>
              <w:right w:val="single" w:sz="4" w:space="0" w:color="auto"/>
            </w:tcBorders>
            <w:shd w:val="clear" w:color="auto" w:fill="auto"/>
            <w:vAlign w:val="center"/>
            <w:hideMark/>
          </w:tcPr>
          <w:p w14:paraId="4E56BA2E" w14:textId="77777777" w:rsidR="00B96700" w:rsidRPr="00AC0422" w:rsidRDefault="00B96700" w:rsidP="00391BF1">
            <w:pPr>
              <w:jc w:val="right"/>
              <w:rPr>
                <w:rFonts w:asciiTheme="minorHAnsi" w:hAnsiTheme="minorHAnsi" w:cstheme="minorHAnsi"/>
                <w:b/>
                <w:bCs/>
                <w:color w:val="000000"/>
                <w:szCs w:val="20"/>
              </w:rPr>
            </w:pPr>
            <w:r w:rsidRPr="00AC0422">
              <w:rPr>
                <w:rFonts w:asciiTheme="minorHAnsi" w:hAnsiTheme="minorHAnsi" w:cstheme="minorHAnsi"/>
                <w:b/>
                <w:bCs/>
                <w:color w:val="000000"/>
                <w:szCs w:val="20"/>
              </w:rPr>
              <w:t>95</w:t>
            </w:r>
          </w:p>
        </w:tc>
        <w:tc>
          <w:tcPr>
            <w:tcW w:w="3060" w:type="dxa"/>
            <w:tcBorders>
              <w:top w:val="nil"/>
              <w:left w:val="nil"/>
              <w:bottom w:val="single" w:sz="8" w:space="0" w:color="auto"/>
              <w:right w:val="single" w:sz="8" w:space="0" w:color="auto"/>
            </w:tcBorders>
            <w:shd w:val="clear" w:color="auto" w:fill="auto"/>
            <w:vAlign w:val="center"/>
            <w:hideMark/>
          </w:tcPr>
          <w:p w14:paraId="7031575E"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50-55% Men, 45-50% Women</w:t>
            </w:r>
          </w:p>
        </w:tc>
      </w:tr>
    </w:tbl>
    <w:p w14:paraId="623F88B4" w14:textId="77777777" w:rsidR="00B96700" w:rsidRPr="00AC0422" w:rsidRDefault="00B96700" w:rsidP="00B96700">
      <w:pPr>
        <w:ind w:right="-28"/>
        <w:rPr>
          <w:rFonts w:asciiTheme="minorHAnsi" w:hAnsiTheme="minorHAnsi" w:cstheme="minorHAnsi"/>
          <w:szCs w:val="20"/>
          <w:lang w:eastAsia="en-GB"/>
        </w:rPr>
      </w:pPr>
    </w:p>
    <w:tbl>
      <w:tblPr>
        <w:tblW w:w="8540" w:type="dxa"/>
        <w:tblLook w:val="04A0" w:firstRow="1" w:lastRow="0" w:firstColumn="1" w:lastColumn="0" w:noHBand="0" w:noVBand="1"/>
      </w:tblPr>
      <w:tblGrid>
        <w:gridCol w:w="6200"/>
        <w:gridCol w:w="2340"/>
      </w:tblGrid>
      <w:tr w:rsidR="00B96700" w:rsidRPr="00AC0422" w14:paraId="3EA72C3B" w14:textId="77777777" w:rsidTr="00391BF1">
        <w:trPr>
          <w:trHeight w:val="300"/>
        </w:trPr>
        <w:tc>
          <w:tcPr>
            <w:tcW w:w="620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A6C58A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Workshop</w:t>
            </w:r>
          </w:p>
        </w:tc>
        <w:tc>
          <w:tcPr>
            <w:tcW w:w="2340" w:type="dxa"/>
            <w:tcBorders>
              <w:top w:val="single" w:sz="8" w:space="0" w:color="auto"/>
              <w:left w:val="nil"/>
              <w:bottom w:val="single" w:sz="4" w:space="0" w:color="auto"/>
              <w:right w:val="single" w:sz="8" w:space="0" w:color="auto"/>
            </w:tcBorders>
            <w:shd w:val="clear" w:color="auto" w:fill="auto"/>
            <w:vAlign w:val="center"/>
            <w:hideMark/>
          </w:tcPr>
          <w:p w14:paraId="6992C547"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Duration</w:t>
            </w:r>
          </w:p>
        </w:tc>
      </w:tr>
      <w:tr w:rsidR="00B96700" w:rsidRPr="00AC0422" w14:paraId="5124D4DB" w14:textId="77777777" w:rsidTr="00391BF1">
        <w:trPr>
          <w:trHeight w:val="600"/>
        </w:trPr>
        <w:tc>
          <w:tcPr>
            <w:tcW w:w="6200" w:type="dxa"/>
            <w:tcBorders>
              <w:top w:val="nil"/>
              <w:left w:val="single" w:sz="8" w:space="0" w:color="auto"/>
              <w:bottom w:val="single" w:sz="4" w:space="0" w:color="auto"/>
              <w:right w:val="single" w:sz="4" w:space="0" w:color="auto"/>
            </w:tcBorders>
            <w:shd w:val="clear" w:color="auto" w:fill="auto"/>
            <w:vAlign w:val="center"/>
            <w:hideMark/>
          </w:tcPr>
          <w:p w14:paraId="2E589B7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Workshop 1: Fundamentals of NAP Planning and Implementation</w:t>
            </w:r>
          </w:p>
        </w:tc>
        <w:tc>
          <w:tcPr>
            <w:tcW w:w="2340" w:type="dxa"/>
            <w:tcBorders>
              <w:top w:val="nil"/>
              <w:left w:val="nil"/>
              <w:bottom w:val="single" w:sz="4" w:space="0" w:color="auto"/>
              <w:right w:val="single" w:sz="8" w:space="0" w:color="auto"/>
            </w:tcBorders>
            <w:shd w:val="clear" w:color="auto" w:fill="auto"/>
            <w:vAlign w:val="center"/>
            <w:hideMark/>
          </w:tcPr>
          <w:p w14:paraId="185006E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 days</w:t>
            </w:r>
          </w:p>
        </w:tc>
      </w:tr>
      <w:tr w:rsidR="00B96700" w:rsidRPr="00AC0422" w14:paraId="21359314" w14:textId="77777777" w:rsidTr="00391BF1">
        <w:trPr>
          <w:trHeight w:val="600"/>
        </w:trPr>
        <w:tc>
          <w:tcPr>
            <w:tcW w:w="6200" w:type="dxa"/>
            <w:tcBorders>
              <w:top w:val="nil"/>
              <w:left w:val="single" w:sz="8" w:space="0" w:color="auto"/>
              <w:bottom w:val="single" w:sz="4" w:space="0" w:color="auto"/>
              <w:right w:val="single" w:sz="4" w:space="0" w:color="auto"/>
            </w:tcBorders>
            <w:shd w:val="clear" w:color="auto" w:fill="auto"/>
            <w:vAlign w:val="center"/>
            <w:hideMark/>
          </w:tcPr>
          <w:p w14:paraId="0D06BDB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Workshop 2: Cross-Sectoral Coordination, M&amp;E, and Knowledge Management</w:t>
            </w:r>
          </w:p>
        </w:tc>
        <w:tc>
          <w:tcPr>
            <w:tcW w:w="2340" w:type="dxa"/>
            <w:tcBorders>
              <w:top w:val="nil"/>
              <w:left w:val="nil"/>
              <w:bottom w:val="single" w:sz="4" w:space="0" w:color="auto"/>
              <w:right w:val="single" w:sz="8" w:space="0" w:color="auto"/>
            </w:tcBorders>
            <w:shd w:val="clear" w:color="auto" w:fill="auto"/>
            <w:vAlign w:val="center"/>
            <w:hideMark/>
          </w:tcPr>
          <w:p w14:paraId="56A8B50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 days</w:t>
            </w:r>
          </w:p>
        </w:tc>
      </w:tr>
      <w:tr w:rsidR="00B96700" w:rsidRPr="00AC0422" w14:paraId="76FB2990" w14:textId="77777777" w:rsidTr="00391BF1">
        <w:trPr>
          <w:trHeight w:val="315"/>
        </w:trPr>
        <w:tc>
          <w:tcPr>
            <w:tcW w:w="6200" w:type="dxa"/>
            <w:tcBorders>
              <w:top w:val="nil"/>
              <w:left w:val="single" w:sz="8" w:space="0" w:color="auto"/>
              <w:bottom w:val="single" w:sz="8" w:space="0" w:color="auto"/>
              <w:right w:val="single" w:sz="4" w:space="0" w:color="auto"/>
            </w:tcBorders>
            <w:shd w:val="clear" w:color="auto" w:fill="auto"/>
            <w:vAlign w:val="center"/>
            <w:hideMark/>
          </w:tcPr>
          <w:p w14:paraId="1F582F53"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Total Training Duration</w:t>
            </w:r>
          </w:p>
        </w:tc>
        <w:tc>
          <w:tcPr>
            <w:tcW w:w="2340" w:type="dxa"/>
            <w:tcBorders>
              <w:top w:val="nil"/>
              <w:left w:val="nil"/>
              <w:bottom w:val="single" w:sz="8" w:space="0" w:color="auto"/>
              <w:right w:val="single" w:sz="8" w:space="0" w:color="auto"/>
            </w:tcBorders>
            <w:shd w:val="clear" w:color="auto" w:fill="auto"/>
            <w:vAlign w:val="center"/>
            <w:hideMark/>
          </w:tcPr>
          <w:p w14:paraId="151C3A7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6 days </w:t>
            </w:r>
          </w:p>
        </w:tc>
      </w:tr>
    </w:tbl>
    <w:p w14:paraId="1C7666B6" w14:textId="77777777" w:rsidR="00B96700" w:rsidRPr="00AC0422" w:rsidRDefault="00B96700" w:rsidP="00B96700">
      <w:pPr>
        <w:spacing w:after="120"/>
        <w:ind w:right="-28"/>
        <w:rPr>
          <w:rFonts w:asciiTheme="minorHAnsi" w:hAnsiTheme="minorHAnsi" w:cstheme="minorHAnsi"/>
          <w:szCs w:val="20"/>
          <w:lang w:eastAsia="en-GB"/>
        </w:rPr>
      </w:pPr>
    </w:p>
    <w:p w14:paraId="054F0F17"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noProof/>
          <w:sz w:val="20"/>
          <w:szCs w:val="20"/>
        </w:rPr>
        <w:t>8</w:t>
      </w:r>
      <w:r w:rsidRPr="00AC0422">
        <w:rPr>
          <w:rFonts w:asciiTheme="minorHAnsi" w:hAnsiTheme="minorHAnsi" w:cstheme="minorHAnsi"/>
          <w:noProof/>
          <w:sz w:val="20"/>
          <w:szCs w:val="20"/>
        </w:rPr>
        <w:fldChar w:fldCharType="end"/>
      </w:r>
      <w:r w:rsidRPr="00AC0422">
        <w:rPr>
          <w:rFonts w:asciiTheme="minorHAnsi" w:hAnsiTheme="minorHAnsi" w:cstheme="minorHAnsi"/>
          <w:sz w:val="20"/>
          <w:szCs w:val="20"/>
        </w:rPr>
        <w:t>:  Targeted Stakeholders – Government Ministries and Institutions</w:t>
      </w:r>
    </w:p>
    <w:tbl>
      <w:tblPr>
        <w:tblW w:w="9030" w:type="dxa"/>
        <w:tblLook w:val="04A0" w:firstRow="1" w:lastRow="0" w:firstColumn="1" w:lastColumn="0" w:noHBand="0" w:noVBand="1"/>
      </w:tblPr>
      <w:tblGrid>
        <w:gridCol w:w="4443"/>
        <w:gridCol w:w="4587"/>
      </w:tblGrid>
      <w:tr w:rsidR="00B96700" w:rsidRPr="00AC0422" w14:paraId="5ABE75D8" w14:textId="77777777" w:rsidTr="00391BF1">
        <w:trPr>
          <w:trHeight w:val="258"/>
        </w:trPr>
        <w:tc>
          <w:tcPr>
            <w:tcW w:w="4443"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50296F5"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Institution</w:t>
            </w:r>
          </w:p>
        </w:tc>
        <w:tc>
          <w:tcPr>
            <w:tcW w:w="4587" w:type="dxa"/>
            <w:tcBorders>
              <w:top w:val="single" w:sz="8" w:space="0" w:color="auto"/>
              <w:left w:val="nil"/>
              <w:bottom w:val="single" w:sz="4" w:space="0" w:color="auto"/>
              <w:right w:val="single" w:sz="8" w:space="0" w:color="auto"/>
            </w:tcBorders>
            <w:shd w:val="clear" w:color="auto" w:fill="auto"/>
            <w:vAlign w:val="center"/>
            <w:hideMark/>
          </w:tcPr>
          <w:p w14:paraId="0F66184A"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Role in the Training</w:t>
            </w:r>
          </w:p>
        </w:tc>
      </w:tr>
      <w:tr w:rsidR="00B96700" w:rsidRPr="00AC0422" w14:paraId="0CC9558A" w14:textId="77777777" w:rsidTr="00391BF1">
        <w:trPr>
          <w:trHeight w:val="464"/>
        </w:trPr>
        <w:tc>
          <w:tcPr>
            <w:tcW w:w="4443" w:type="dxa"/>
            <w:tcBorders>
              <w:top w:val="nil"/>
              <w:left w:val="single" w:sz="8" w:space="0" w:color="auto"/>
              <w:bottom w:val="single" w:sz="4" w:space="0" w:color="auto"/>
              <w:right w:val="single" w:sz="4" w:space="0" w:color="auto"/>
            </w:tcBorders>
            <w:shd w:val="clear" w:color="auto" w:fill="auto"/>
            <w:vAlign w:val="center"/>
            <w:hideMark/>
          </w:tcPr>
          <w:p w14:paraId="57BBCAB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Environmental Protection Authority (EPA)</w:t>
            </w:r>
          </w:p>
        </w:tc>
        <w:tc>
          <w:tcPr>
            <w:tcW w:w="4587" w:type="dxa"/>
            <w:tcBorders>
              <w:top w:val="nil"/>
              <w:left w:val="nil"/>
              <w:bottom w:val="single" w:sz="4" w:space="0" w:color="auto"/>
              <w:right w:val="single" w:sz="8" w:space="0" w:color="auto"/>
            </w:tcBorders>
            <w:shd w:val="clear" w:color="auto" w:fill="auto"/>
            <w:vAlign w:val="center"/>
            <w:hideMark/>
          </w:tcPr>
          <w:p w14:paraId="5A5BBF5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Lead on NAP coordination and environmental governance.</w:t>
            </w:r>
          </w:p>
        </w:tc>
      </w:tr>
      <w:tr w:rsidR="00B96700" w:rsidRPr="00AC0422" w14:paraId="119B2970" w14:textId="77777777" w:rsidTr="00391BF1">
        <w:trPr>
          <w:trHeight w:val="464"/>
        </w:trPr>
        <w:tc>
          <w:tcPr>
            <w:tcW w:w="4443" w:type="dxa"/>
            <w:tcBorders>
              <w:top w:val="nil"/>
              <w:left w:val="single" w:sz="8" w:space="0" w:color="auto"/>
              <w:bottom w:val="single" w:sz="4" w:space="0" w:color="auto"/>
              <w:right w:val="single" w:sz="4" w:space="0" w:color="auto"/>
            </w:tcBorders>
            <w:shd w:val="clear" w:color="auto" w:fill="auto"/>
            <w:vAlign w:val="center"/>
            <w:hideMark/>
          </w:tcPr>
          <w:p w14:paraId="22E3413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Ministry of Water and Environment</w:t>
            </w:r>
          </w:p>
        </w:tc>
        <w:tc>
          <w:tcPr>
            <w:tcW w:w="4587" w:type="dxa"/>
            <w:tcBorders>
              <w:top w:val="nil"/>
              <w:left w:val="nil"/>
              <w:bottom w:val="single" w:sz="4" w:space="0" w:color="auto"/>
              <w:right w:val="single" w:sz="8" w:space="0" w:color="auto"/>
            </w:tcBorders>
            <w:shd w:val="clear" w:color="auto" w:fill="auto"/>
            <w:vAlign w:val="center"/>
            <w:hideMark/>
          </w:tcPr>
          <w:p w14:paraId="03488EC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Lead on water resource management adaptation.</w:t>
            </w:r>
          </w:p>
        </w:tc>
      </w:tr>
      <w:tr w:rsidR="00B96700" w:rsidRPr="00AC0422" w14:paraId="148EB081" w14:textId="77777777" w:rsidTr="00391BF1">
        <w:trPr>
          <w:trHeight w:val="464"/>
        </w:trPr>
        <w:tc>
          <w:tcPr>
            <w:tcW w:w="4443" w:type="dxa"/>
            <w:tcBorders>
              <w:top w:val="nil"/>
              <w:left w:val="single" w:sz="8" w:space="0" w:color="auto"/>
              <w:bottom w:val="single" w:sz="4" w:space="0" w:color="auto"/>
              <w:right w:val="single" w:sz="4" w:space="0" w:color="auto"/>
            </w:tcBorders>
            <w:shd w:val="clear" w:color="auto" w:fill="auto"/>
            <w:vAlign w:val="center"/>
            <w:hideMark/>
          </w:tcPr>
          <w:p w14:paraId="089174C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Agriculture and Irrigation</w:t>
            </w:r>
          </w:p>
        </w:tc>
        <w:tc>
          <w:tcPr>
            <w:tcW w:w="4587" w:type="dxa"/>
            <w:tcBorders>
              <w:top w:val="nil"/>
              <w:left w:val="nil"/>
              <w:bottom w:val="single" w:sz="4" w:space="0" w:color="auto"/>
              <w:right w:val="single" w:sz="8" w:space="0" w:color="auto"/>
            </w:tcBorders>
            <w:shd w:val="clear" w:color="auto" w:fill="auto"/>
            <w:vAlign w:val="center"/>
            <w:hideMark/>
          </w:tcPr>
          <w:p w14:paraId="4F3A8F0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Responsible for climate-resilient agriculture initiatives.</w:t>
            </w:r>
          </w:p>
        </w:tc>
      </w:tr>
      <w:tr w:rsidR="00B96700" w:rsidRPr="00AC0422" w14:paraId="4F6480A8" w14:textId="77777777" w:rsidTr="00391BF1">
        <w:trPr>
          <w:trHeight w:val="464"/>
        </w:trPr>
        <w:tc>
          <w:tcPr>
            <w:tcW w:w="4443" w:type="dxa"/>
            <w:tcBorders>
              <w:top w:val="nil"/>
              <w:left w:val="single" w:sz="8" w:space="0" w:color="auto"/>
              <w:bottom w:val="single" w:sz="4" w:space="0" w:color="auto"/>
              <w:right w:val="single" w:sz="4" w:space="0" w:color="auto"/>
            </w:tcBorders>
            <w:shd w:val="clear" w:color="auto" w:fill="auto"/>
            <w:vAlign w:val="center"/>
            <w:hideMark/>
          </w:tcPr>
          <w:p w14:paraId="411602F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Health and Population</w:t>
            </w:r>
          </w:p>
        </w:tc>
        <w:tc>
          <w:tcPr>
            <w:tcW w:w="4587" w:type="dxa"/>
            <w:tcBorders>
              <w:top w:val="nil"/>
              <w:left w:val="nil"/>
              <w:bottom w:val="single" w:sz="4" w:space="0" w:color="auto"/>
              <w:right w:val="single" w:sz="8" w:space="0" w:color="auto"/>
            </w:tcBorders>
            <w:shd w:val="clear" w:color="auto" w:fill="auto"/>
            <w:vAlign w:val="center"/>
            <w:hideMark/>
          </w:tcPr>
          <w:p w14:paraId="047D20E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Ensure climate adaptation in health systems.</w:t>
            </w:r>
          </w:p>
        </w:tc>
      </w:tr>
      <w:tr w:rsidR="00B96700" w:rsidRPr="00AC0422" w14:paraId="4BEDDE43" w14:textId="77777777" w:rsidTr="00391BF1">
        <w:trPr>
          <w:trHeight w:val="464"/>
        </w:trPr>
        <w:tc>
          <w:tcPr>
            <w:tcW w:w="4443" w:type="dxa"/>
            <w:tcBorders>
              <w:top w:val="nil"/>
              <w:left w:val="single" w:sz="8" w:space="0" w:color="auto"/>
              <w:bottom w:val="single" w:sz="4" w:space="0" w:color="auto"/>
              <w:right w:val="single" w:sz="4" w:space="0" w:color="auto"/>
            </w:tcBorders>
            <w:shd w:val="clear" w:color="auto" w:fill="auto"/>
            <w:vAlign w:val="center"/>
            <w:hideMark/>
          </w:tcPr>
          <w:p w14:paraId="5DA88A1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Planning and International Cooperation</w:t>
            </w:r>
          </w:p>
        </w:tc>
        <w:tc>
          <w:tcPr>
            <w:tcW w:w="4587" w:type="dxa"/>
            <w:tcBorders>
              <w:top w:val="nil"/>
              <w:left w:val="nil"/>
              <w:bottom w:val="single" w:sz="4" w:space="0" w:color="auto"/>
              <w:right w:val="single" w:sz="8" w:space="0" w:color="auto"/>
            </w:tcBorders>
            <w:shd w:val="clear" w:color="auto" w:fill="auto"/>
            <w:vAlign w:val="center"/>
            <w:hideMark/>
          </w:tcPr>
          <w:p w14:paraId="25C6852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Align NAP with national development goals.</w:t>
            </w:r>
          </w:p>
        </w:tc>
      </w:tr>
      <w:tr w:rsidR="00B96700" w:rsidRPr="00AC0422" w14:paraId="492BD26E" w14:textId="77777777" w:rsidTr="00391BF1">
        <w:trPr>
          <w:trHeight w:val="464"/>
        </w:trPr>
        <w:tc>
          <w:tcPr>
            <w:tcW w:w="4443" w:type="dxa"/>
            <w:tcBorders>
              <w:top w:val="nil"/>
              <w:left w:val="single" w:sz="8" w:space="0" w:color="auto"/>
              <w:bottom w:val="single" w:sz="4" w:space="0" w:color="auto"/>
              <w:right w:val="single" w:sz="4" w:space="0" w:color="auto"/>
            </w:tcBorders>
            <w:shd w:val="clear" w:color="auto" w:fill="auto"/>
            <w:vAlign w:val="center"/>
            <w:hideMark/>
          </w:tcPr>
          <w:p w14:paraId="7F748EA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Civil Aviation and Meteorology Authority (CAMA)</w:t>
            </w:r>
          </w:p>
        </w:tc>
        <w:tc>
          <w:tcPr>
            <w:tcW w:w="4587" w:type="dxa"/>
            <w:tcBorders>
              <w:top w:val="nil"/>
              <w:left w:val="nil"/>
              <w:bottom w:val="single" w:sz="4" w:space="0" w:color="auto"/>
              <w:right w:val="single" w:sz="8" w:space="0" w:color="auto"/>
            </w:tcBorders>
            <w:shd w:val="clear" w:color="auto" w:fill="auto"/>
            <w:vAlign w:val="center"/>
            <w:hideMark/>
          </w:tcPr>
          <w:p w14:paraId="359250A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 climate information services and early warning systems.</w:t>
            </w:r>
          </w:p>
        </w:tc>
      </w:tr>
      <w:tr w:rsidR="00B96700" w:rsidRPr="00AC0422" w14:paraId="02F557FB" w14:textId="77777777" w:rsidTr="00391BF1">
        <w:trPr>
          <w:trHeight w:val="464"/>
        </w:trPr>
        <w:tc>
          <w:tcPr>
            <w:tcW w:w="4443" w:type="dxa"/>
            <w:tcBorders>
              <w:top w:val="nil"/>
              <w:left w:val="single" w:sz="8" w:space="0" w:color="auto"/>
              <w:bottom w:val="single" w:sz="8" w:space="0" w:color="auto"/>
              <w:right w:val="single" w:sz="4" w:space="0" w:color="auto"/>
            </w:tcBorders>
            <w:shd w:val="clear" w:color="auto" w:fill="auto"/>
            <w:vAlign w:val="center"/>
            <w:hideMark/>
          </w:tcPr>
          <w:p w14:paraId="3134AAA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National Disaster Risk Management Unit (DRMU)</w:t>
            </w:r>
          </w:p>
        </w:tc>
        <w:tc>
          <w:tcPr>
            <w:tcW w:w="4587" w:type="dxa"/>
            <w:tcBorders>
              <w:top w:val="nil"/>
              <w:left w:val="nil"/>
              <w:bottom w:val="single" w:sz="8" w:space="0" w:color="auto"/>
              <w:right w:val="single" w:sz="8" w:space="0" w:color="auto"/>
            </w:tcBorders>
            <w:shd w:val="clear" w:color="auto" w:fill="auto"/>
            <w:vAlign w:val="center"/>
            <w:hideMark/>
          </w:tcPr>
          <w:p w14:paraId="4C841A6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Link adaptation planning with disaster risk reduction.</w:t>
            </w:r>
          </w:p>
        </w:tc>
      </w:tr>
    </w:tbl>
    <w:p w14:paraId="193CF002" w14:textId="77777777" w:rsidR="00B96700" w:rsidRPr="00AC0422" w:rsidRDefault="00B96700" w:rsidP="00B96700">
      <w:pPr>
        <w:spacing w:after="120"/>
        <w:ind w:right="-28"/>
        <w:rPr>
          <w:rFonts w:asciiTheme="minorHAnsi" w:hAnsiTheme="minorHAnsi" w:cstheme="minorHAnsi"/>
          <w:szCs w:val="20"/>
          <w:lang w:eastAsia="en-GB"/>
        </w:rPr>
      </w:pPr>
    </w:p>
    <w:p w14:paraId="51D03C91"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Technical Climate Coordination Committee (TCCC)</w:t>
      </w:r>
    </w:p>
    <w:p w14:paraId="3CB06E3A" w14:textId="77777777" w:rsidR="00B96700" w:rsidRPr="00AC0422" w:rsidRDefault="00B96700" w:rsidP="005D2C02">
      <w:pPr>
        <w:numPr>
          <w:ilvl w:val="0"/>
          <w:numId w:val="60"/>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Members from key ministries, climate adaptation experts, and finance officials.</w:t>
      </w:r>
    </w:p>
    <w:p w14:paraId="578181F5" w14:textId="77777777" w:rsidR="00B96700" w:rsidRPr="00AC0422" w:rsidRDefault="00B96700" w:rsidP="005D2C02">
      <w:pPr>
        <w:numPr>
          <w:ilvl w:val="0"/>
          <w:numId w:val="60"/>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Responsible for NAP oversight, policy recommendations, and inter-ministerial coordination.</w:t>
      </w:r>
    </w:p>
    <w:p w14:paraId="1E637A82"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National Thematic Clusters (NTCs)</w:t>
      </w:r>
    </w:p>
    <w:p w14:paraId="695F9348" w14:textId="77777777" w:rsidR="00B96700" w:rsidRPr="00AC0422" w:rsidRDefault="00B96700" w:rsidP="005D2C02">
      <w:pPr>
        <w:numPr>
          <w:ilvl w:val="0"/>
          <w:numId w:val="61"/>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Sectoral working groups focused on adaptation in water, agriculture, coastal zones, and health.</w:t>
      </w:r>
    </w:p>
    <w:p w14:paraId="12A22AFE" w14:textId="77777777" w:rsidR="00B96700" w:rsidRPr="00AC0422" w:rsidRDefault="00B96700" w:rsidP="005D2C02">
      <w:pPr>
        <w:numPr>
          <w:ilvl w:val="0"/>
          <w:numId w:val="61"/>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Involved in technical planning, stakeholder engagement, and project implementation.</w:t>
      </w:r>
    </w:p>
    <w:p w14:paraId="72581315"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Civil Society Organizations (CSOs) and NGOs</w:t>
      </w:r>
    </w:p>
    <w:p w14:paraId="37E11167" w14:textId="77777777" w:rsidR="00B96700" w:rsidRPr="00AC0422" w:rsidRDefault="00B96700" w:rsidP="005D2C02">
      <w:pPr>
        <w:numPr>
          <w:ilvl w:val="0"/>
          <w:numId w:val="62"/>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Yemeni Women’s Union &amp; Gender-Based CSOs: Ensure gender mainstreaming in adaptation.</w:t>
      </w:r>
    </w:p>
    <w:p w14:paraId="50657129" w14:textId="77777777" w:rsidR="00B96700" w:rsidRPr="00AC0422" w:rsidRDefault="00B96700" w:rsidP="005D2C02">
      <w:pPr>
        <w:numPr>
          <w:ilvl w:val="0"/>
          <w:numId w:val="62"/>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Community-Based Organizations (CBOs): Provide local perspectives on adaptation challenges.</w:t>
      </w:r>
    </w:p>
    <w:p w14:paraId="5EB31C71" w14:textId="77777777" w:rsidR="00B96700" w:rsidRPr="00AC0422" w:rsidRDefault="00B96700" w:rsidP="005D2C02">
      <w:pPr>
        <w:numPr>
          <w:ilvl w:val="0"/>
          <w:numId w:val="62"/>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International NGOs (Oxfam, CARE, etc.): Contribute expertise and funding support.</w:t>
      </w:r>
    </w:p>
    <w:p w14:paraId="18570022"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Private Sector &amp; Academia</w:t>
      </w:r>
    </w:p>
    <w:p w14:paraId="5CACCD1A" w14:textId="77777777" w:rsidR="00B96700" w:rsidRPr="00AC0422" w:rsidRDefault="00B96700" w:rsidP="005D2C02">
      <w:pPr>
        <w:numPr>
          <w:ilvl w:val="0"/>
          <w:numId w:val="63"/>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Universities and Research Institutions: Strengthen climate research and knowledge sharing.</w:t>
      </w:r>
    </w:p>
    <w:p w14:paraId="6C45337D" w14:textId="77777777" w:rsidR="00B96700" w:rsidRPr="00AC0422" w:rsidRDefault="00B96700" w:rsidP="005D2C02">
      <w:pPr>
        <w:numPr>
          <w:ilvl w:val="0"/>
          <w:numId w:val="63"/>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Private Sector Representatives: Identify adaptation investment opportunities.</w:t>
      </w:r>
    </w:p>
    <w:p w14:paraId="35D52278"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Development Partners &amp; UN Agencies (Observers)</w:t>
      </w:r>
    </w:p>
    <w:p w14:paraId="4C982A30" w14:textId="77777777" w:rsidR="00B96700" w:rsidRPr="00AC0422" w:rsidRDefault="00B96700" w:rsidP="005D2C02">
      <w:pPr>
        <w:numPr>
          <w:ilvl w:val="0"/>
          <w:numId w:val="64"/>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UNDP, FAO, UN-HABITAT, UNEP, GCF, GEF, WFP, WHO</w:t>
      </w:r>
    </w:p>
    <w:p w14:paraId="0497500E" w14:textId="77777777" w:rsidR="00B96700" w:rsidRPr="00AC0422" w:rsidRDefault="00B96700" w:rsidP="005D2C02">
      <w:pPr>
        <w:numPr>
          <w:ilvl w:val="0"/>
          <w:numId w:val="64"/>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Provide technical support and international best practices.</w:t>
      </w:r>
    </w:p>
    <w:p w14:paraId="1FD3F294" w14:textId="3EF44E9F"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These training workshops will equip the TCCC and NTCs with the technical expertise needed to lead Yemen’s adaptation planning efforts under the NAP process. By ensuring a participatory, gender-balanced, and interactive learning approach, these workshops will enhance cross-sectoral coordination, strengthen institutional capacities, and drive effective implementation of climate adaptation initiatives in Yemen.</w:t>
      </w:r>
    </w:p>
    <w:p w14:paraId="210DCD7E" w14:textId="77777777" w:rsidR="00B96700" w:rsidRPr="00AC0422" w:rsidRDefault="00B96700" w:rsidP="00B96700">
      <w:pPr>
        <w:keepNext/>
        <w:spacing w:after="120"/>
        <w:rPr>
          <w:rFonts w:asciiTheme="minorHAnsi" w:hAnsiTheme="minorHAnsi" w:cstheme="minorHAnsi"/>
          <w:iCs/>
          <w:szCs w:val="20"/>
          <w:lang w:eastAsia="ja-JP"/>
        </w:rPr>
      </w:pPr>
      <w:r w:rsidRPr="00AC0422">
        <w:rPr>
          <w:rFonts w:asciiTheme="minorHAnsi" w:hAnsiTheme="minorHAnsi" w:cstheme="minorHAnsi"/>
          <w:b/>
          <w:bCs/>
          <w:iCs/>
          <w:szCs w:val="20"/>
          <w:lang w:eastAsia="ja-JP"/>
        </w:rPr>
        <w:t>Output 3.1.4. Stakeholder engagement frameworks, agreements, and awareness raising conducted or strengthened</w:t>
      </w:r>
      <w:r w:rsidRPr="00AC0422">
        <w:rPr>
          <w:rFonts w:asciiTheme="minorHAnsi" w:hAnsiTheme="minorHAnsi" w:cstheme="minorHAnsi"/>
          <w:iCs/>
          <w:szCs w:val="20"/>
          <w:lang w:eastAsia="ja-JP"/>
        </w:rPr>
        <w:t>.</w:t>
      </w:r>
    </w:p>
    <w:p w14:paraId="29911751" w14:textId="77777777" w:rsidR="00B96700" w:rsidRPr="00AC0422" w:rsidRDefault="00B96700" w:rsidP="00B96700">
      <w:pPr>
        <w:spacing w:after="120"/>
        <w:ind w:right="-29"/>
        <w:rPr>
          <w:rFonts w:asciiTheme="minorHAnsi" w:hAnsiTheme="minorHAnsi" w:cstheme="minorHAnsi"/>
          <w:b/>
          <w:i/>
          <w:iCs/>
          <w:szCs w:val="20"/>
          <w:u w:val="single"/>
        </w:rPr>
      </w:pPr>
      <w:bookmarkStart w:id="21" w:name="_Hlk189490122"/>
      <w:r w:rsidRPr="00AC0422">
        <w:rPr>
          <w:rFonts w:asciiTheme="minorHAnsi" w:hAnsiTheme="minorHAnsi" w:cstheme="minorHAnsi"/>
          <w:b/>
          <w:i/>
          <w:iCs/>
          <w:szCs w:val="20"/>
          <w:u w:val="single"/>
        </w:rPr>
        <w:t xml:space="preserve">Activity 3.1.4.1: Develop and implement CCA Capacity Development Strategy and Pla; awareness raising strategy, plan, tools and material; </w:t>
      </w:r>
      <w:proofErr w:type="spellStart"/>
      <w:r w:rsidRPr="00AC0422">
        <w:rPr>
          <w:rFonts w:asciiTheme="minorHAnsi" w:hAnsiTheme="minorHAnsi" w:cstheme="minorHAnsi"/>
          <w:b/>
          <w:i/>
          <w:iCs/>
          <w:szCs w:val="20"/>
          <w:u w:val="single"/>
        </w:rPr>
        <w:t>centralised</w:t>
      </w:r>
      <w:proofErr w:type="spellEnd"/>
      <w:r w:rsidRPr="00AC0422">
        <w:rPr>
          <w:rFonts w:asciiTheme="minorHAnsi" w:hAnsiTheme="minorHAnsi" w:cstheme="minorHAnsi"/>
          <w:b/>
          <w:i/>
          <w:iCs/>
          <w:szCs w:val="20"/>
          <w:u w:val="single"/>
        </w:rPr>
        <w:t xml:space="preserve"> awareness raising and knowledge-sharing mechanisms; </w:t>
      </w:r>
    </w:p>
    <w:p w14:paraId="3E384F46" w14:textId="77777777" w:rsidR="00B96700" w:rsidRPr="00AC0422" w:rsidRDefault="00B96700" w:rsidP="00B96700">
      <w:pPr>
        <w:spacing w:after="120"/>
        <w:ind w:right="-29"/>
        <w:rPr>
          <w:rFonts w:asciiTheme="minorHAnsi" w:hAnsiTheme="minorHAnsi" w:cstheme="minorHAnsi"/>
          <w:bCs/>
          <w:i/>
          <w:iCs/>
          <w:szCs w:val="20"/>
          <w:u w:val="single"/>
        </w:rPr>
      </w:pPr>
      <w:r w:rsidRPr="00AC0422">
        <w:rPr>
          <w:rFonts w:asciiTheme="minorHAnsi" w:hAnsiTheme="minorHAnsi" w:cstheme="minorHAnsi"/>
          <w:bCs/>
          <w:i/>
          <w:iCs/>
          <w:szCs w:val="20"/>
          <w:u w:val="single"/>
        </w:rPr>
        <w:t>Activity 3.1.4.1a: Develop and implement an Institutional Capacity Development Plan for NAP based on a detailed institutional capacity assessment and gap analysis.</w:t>
      </w:r>
    </w:p>
    <w:p w14:paraId="114609E6" w14:textId="77777777" w:rsidR="00B96700" w:rsidRPr="00AC0422" w:rsidRDefault="00B96700" w:rsidP="00B96700">
      <w:pPr>
        <w:tabs>
          <w:tab w:val="num" w:pos="1440"/>
        </w:tabs>
        <w:spacing w:after="120"/>
        <w:ind w:right="-29"/>
        <w:rPr>
          <w:rFonts w:asciiTheme="minorHAnsi" w:hAnsiTheme="minorHAnsi" w:cstheme="minorHAnsi"/>
          <w:szCs w:val="20"/>
          <w:lang w:val="en-GB" w:eastAsia="en-GB"/>
        </w:rPr>
      </w:pPr>
      <w:r w:rsidRPr="00AC0422">
        <w:rPr>
          <w:rFonts w:asciiTheme="minorHAnsi" w:hAnsiTheme="minorHAnsi" w:cstheme="minorHAnsi"/>
          <w:szCs w:val="20"/>
        </w:rPr>
        <w:t xml:space="preserve">The project </w:t>
      </w:r>
      <w:r w:rsidRPr="00AC0422">
        <w:rPr>
          <w:rFonts w:asciiTheme="minorHAnsi" w:eastAsia="Calibri" w:hAnsiTheme="minorHAnsi" w:cstheme="minorHAnsi"/>
          <w:szCs w:val="20"/>
        </w:rPr>
        <w:t>will undertake a detailed institutional</w:t>
      </w:r>
      <w:r w:rsidRPr="00AC0422">
        <w:rPr>
          <w:rFonts w:asciiTheme="minorHAnsi" w:hAnsiTheme="minorHAnsi" w:cstheme="minorHAnsi"/>
          <w:b/>
          <w:bCs/>
          <w:szCs w:val="20"/>
          <w:lang w:val="en-GB" w:eastAsia="en-GB"/>
        </w:rPr>
        <w:t xml:space="preserve"> Capacity Assessment and Gap Analysis </w:t>
      </w:r>
      <w:r w:rsidRPr="00AC0422">
        <w:rPr>
          <w:rFonts w:asciiTheme="minorHAnsi" w:hAnsiTheme="minorHAnsi" w:cstheme="minorHAnsi"/>
          <w:szCs w:val="20"/>
          <w:lang w:val="en-GB" w:eastAsia="en-GB"/>
        </w:rPr>
        <w:t xml:space="preserve">to assess the current institutional capacity of key stakeholders involved in the NAP process. The assessment process will engage all </w:t>
      </w:r>
      <w:r w:rsidRPr="00AC0422">
        <w:rPr>
          <w:rFonts w:asciiTheme="minorHAnsi" w:hAnsiTheme="minorHAnsi" w:cstheme="minorHAnsi"/>
          <w:szCs w:val="20"/>
          <w:lang w:val="en-GB" w:eastAsia="en-GB"/>
        </w:rPr>
        <w:lastRenderedPageBreak/>
        <w:t xml:space="preserve">relevant institutions to ensure the plan addresses diverse needs and will </w:t>
      </w:r>
      <w:r w:rsidRPr="00AC0422">
        <w:rPr>
          <w:rFonts w:asciiTheme="minorHAnsi" w:eastAsia="Calibri" w:hAnsiTheme="minorHAnsi" w:cstheme="minorHAnsi"/>
          <w:szCs w:val="20"/>
        </w:rPr>
        <w:t>identify roles, responsibilities, and capacities for all CCA functions, gaps, and specific needs for the establishment/improvement of institutional capacity to CCA functions in each sector.</w:t>
      </w:r>
    </w:p>
    <w:p w14:paraId="46F66B63" w14:textId="77777777" w:rsidR="00B96700" w:rsidRPr="00AC0422" w:rsidRDefault="00B96700" w:rsidP="00B96700">
      <w:pPr>
        <w:tabs>
          <w:tab w:val="num" w:pos="1440"/>
        </w:tabs>
        <w:spacing w:after="120"/>
        <w:ind w:right="-29"/>
        <w:rPr>
          <w:rFonts w:asciiTheme="minorHAnsi" w:hAnsiTheme="minorHAnsi" w:cstheme="minorHAnsi"/>
          <w:szCs w:val="20"/>
          <w:lang w:val="en-GB" w:eastAsia="en-GB"/>
        </w:rPr>
      </w:pPr>
      <w:r w:rsidRPr="00AC0422">
        <w:rPr>
          <w:rFonts w:asciiTheme="minorHAnsi" w:eastAsia="Calibri" w:hAnsiTheme="minorHAnsi" w:cstheme="minorHAnsi"/>
          <w:szCs w:val="20"/>
        </w:rPr>
        <w:t xml:space="preserve">Based on this analysis an Institutional and Capacity Development Strategy and Plan (short-, medium, and long-term) for the long-term and continuous implementation and updating. It will do so by </w:t>
      </w:r>
      <w:r w:rsidRPr="00AC0422">
        <w:rPr>
          <w:rFonts w:asciiTheme="minorHAnsi" w:hAnsiTheme="minorHAnsi" w:cstheme="minorHAnsi"/>
          <w:szCs w:val="20"/>
          <w:lang w:val="en-GB" w:eastAsia="en-GB"/>
        </w:rPr>
        <w:t>prioritizing capacity development for responsible institutions of the most vulnerable sectors and regions most vulnerable to climate impacts. It will also identify the funding and technical assistance that would be required for effective implementation, and establish indicators to measure implementation of the plan, and resulting improvements in institutional capacity.  Periodic reviews of the plan will be specified to adapt the plan based on lessons learned.</w:t>
      </w:r>
    </w:p>
    <w:p w14:paraId="76827C98"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Based on the CDP the project will organize targeted training workshops, on-the-job coaching, and study tours for stakeholders and provide tools, guidelines, and resources to enhance institutional effectiveness in CCA.  The topics for which training will be provided under the project will be determined by the immediate needs of the project.  </w:t>
      </w:r>
    </w:p>
    <w:p w14:paraId="06F2C5F0" w14:textId="77777777" w:rsidR="00B96700" w:rsidRPr="00AC0422" w:rsidRDefault="00B96700" w:rsidP="00B96700">
      <w:pPr>
        <w:tabs>
          <w:tab w:val="num" w:pos="1440"/>
        </w:tabs>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The following topics have been identified as </w:t>
      </w:r>
      <w:r w:rsidRPr="00AC0422">
        <w:rPr>
          <w:rFonts w:asciiTheme="minorHAnsi" w:hAnsiTheme="minorHAnsi" w:cstheme="minorHAnsi"/>
          <w:b/>
          <w:bCs/>
          <w:szCs w:val="20"/>
          <w:lang w:eastAsia="en-GB"/>
        </w:rPr>
        <w:t>likely priorities</w:t>
      </w:r>
      <w:r w:rsidRPr="00AC0422">
        <w:rPr>
          <w:rFonts w:asciiTheme="minorHAnsi" w:hAnsiTheme="minorHAnsi" w:cstheme="minorHAnsi"/>
          <w:szCs w:val="20"/>
          <w:lang w:eastAsia="en-GB"/>
        </w:rPr>
        <w:t xml:space="preserve"> based on institutional needs for </w:t>
      </w:r>
      <w:r w:rsidRPr="00AC0422">
        <w:rPr>
          <w:rFonts w:asciiTheme="minorHAnsi" w:hAnsiTheme="minorHAnsi" w:cstheme="minorHAnsi"/>
          <w:b/>
          <w:bCs/>
          <w:szCs w:val="20"/>
          <w:lang w:eastAsia="en-GB"/>
        </w:rPr>
        <w:t>effective CCA functions</w:t>
      </w:r>
      <w:r w:rsidRPr="00AC0422">
        <w:rPr>
          <w:rFonts w:asciiTheme="minorHAnsi" w:hAnsiTheme="minorHAnsi" w:cstheme="minorHAnsi"/>
          <w:szCs w:val="20"/>
          <w:lang w:eastAsia="en-GB"/>
        </w:rPr>
        <w:t xml:space="preserve"> at national and sub-national levels:</w:t>
      </w:r>
    </w:p>
    <w:p w14:paraId="2AA03F43"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9</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Activity 3.1.4.1a Indicative priority topics for capacity development and training under the NAP project</w:t>
      </w:r>
    </w:p>
    <w:tbl>
      <w:tblPr>
        <w:tblW w:w="9940" w:type="dxa"/>
        <w:tblLook w:val="04A0" w:firstRow="1" w:lastRow="0" w:firstColumn="1" w:lastColumn="0" w:noHBand="0" w:noVBand="1"/>
      </w:tblPr>
      <w:tblGrid>
        <w:gridCol w:w="2967"/>
        <w:gridCol w:w="4605"/>
        <w:gridCol w:w="2368"/>
      </w:tblGrid>
      <w:tr w:rsidR="00B96700" w:rsidRPr="00AC0422" w14:paraId="5D8ECC32" w14:textId="77777777" w:rsidTr="00391BF1">
        <w:trPr>
          <w:trHeight w:val="271"/>
        </w:trPr>
        <w:tc>
          <w:tcPr>
            <w:tcW w:w="2967" w:type="dxa"/>
            <w:tcBorders>
              <w:top w:val="single" w:sz="8" w:space="0" w:color="auto"/>
              <w:left w:val="single" w:sz="8" w:space="0" w:color="auto"/>
              <w:bottom w:val="nil"/>
              <w:right w:val="single" w:sz="4" w:space="0" w:color="auto"/>
            </w:tcBorders>
            <w:shd w:val="clear" w:color="auto" w:fill="auto"/>
            <w:vAlign w:val="center"/>
            <w:hideMark/>
          </w:tcPr>
          <w:p w14:paraId="60A7B438"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Training Topic</w:t>
            </w:r>
          </w:p>
        </w:tc>
        <w:tc>
          <w:tcPr>
            <w:tcW w:w="4605" w:type="dxa"/>
            <w:tcBorders>
              <w:top w:val="single" w:sz="8" w:space="0" w:color="auto"/>
              <w:left w:val="nil"/>
              <w:bottom w:val="nil"/>
              <w:right w:val="single" w:sz="4" w:space="0" w:color="auto"/>
            </w:tcBorders>
            <w:shd w:val="clear" w:color="auto" w:fill="auto"/>
            <w:vAlign w:val="center"/>
            <w:hideMark/>
          </w:tcPr>
          <w:p w14:paraId="1CB9C21B"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Key Areas Covered</w:t>
            </w:r>
          </w:p>
        </w:tc>
        <w:tc>
          <w:tcPr>
            <w:tcW w:w="2368" w:type="dxa"/>
            <w:tcBorders>
              <w:top w:val="single" w:sz="8" w:space="0" w:color="auto"/>
              <w:left w:val="nil"/>
              <w:bottom w:val="nil"/>
              <w:right w:val="single" w:sz="8" w:space="0" w:color="auto"/>
            </w:tcBorders>
            <w:shd w:val="clear" w:color="auto" w:fill="auto"/>
            <w:vAlign w:val="center"/>
            <w:hideMark/>
          </w:tcPr>
          <w:p w14:paraId="1D583FA8"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Relevance to NAP</w:t>
            </w:r>
          </w:p>
        </w:tc>
      </w:tr>
      <w:tr w:rsidR="00B96700" w:rsidRPr="00AC0422" w14:paraId="54ACD0A2" w14:textId="77777777" w:rsidTr="00391BF1">
        <w:trPr>
          <w:trHeight w:val="258"/>
        </w:trPr>
        <w:tc>
          <w:tcPr>
            <w:tcW w:w="2967"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4A3C94E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NAP Process and Governance</w:t>
            </w:r>
          </w:p>
        </w:tc>
        <w:tc>
          <w:tcPr>
            <w:tcW w:w="4605" w:type="dxa"/>
            <w:tcBorders>
              <w:top w:val="single" w:sz="8" w:space="0" w:color="auto"/>
              <w:left w:val="nil"/>
              <w:bottom w:val="single" w:sz="4" w:space="0" w:color="auto"/>
              <w:right w:val="single" w:sz="4" w:space="0" w:color="auto"/>
            </w:tcBorders>
            <w:shd w:val="clear" w:color="auto" w:fill="auto"/>
            <w:vAlign w:val="center"/>
            <w:hideMark/>
          </w:tcPr>
          <w:p w14:paraId="1129034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Roles and responsibilities of institutions in NAP implementation.</w:t>
            </w:r>
          </w:p>
        </w:tc>
        <w:tc>
          <w:tcPr>
            <w:tcW w:w="2368"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6D6EF4A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Ensures effective institutional engagement in the NAP process.</w:t>
            </w:r>
          </w:p>
        </w:tc>
      </w:tr>
      <w:tr w:rsidR="00B96700" w:rsidRPr="00AC0422" w14:paraId="7D5FD9EE" w14:textId="77777777" w:rsidTr="00391BF1">
        <w:trPr>
          <w:trHeight w:val="258"/>
        </w:trPr>
        <w:tc>
          <w:tcPr>
            <w:tcW w:w="2967" w:type="dxa"/>
            <w:vMerge/>
            <w:tcBorders>
              <w:top w:val="single" w:sz="8" w:space="0" w:color="auto"/>
              <w:left w:val="single" w:sz="8" w:space="0" w:color="auto"/>
              <w:bottom w:val="single" w:sz="8" w:space="0" w:color="000000"/>
              <w:right w:val="single" w:sz="4" w:space="0" w:color="auto"/>
            </w:tcBorders>
            <w:vAlign w:val="center"/>
            <w:hideMark/>
          </w:tcPr>
          <w:p w14:paraId="04CCBD95"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3D91B1B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National policy frameworks and institutional mandates.</w:t>
            </w:r>
          </w:p>
        </w:tc>
        <w:tc>
          <w:tcPr>
            <w:tcW w:w="2368" w:type="dxa"/>
            <w:vMerge/>
            <w:tcBorders>
              <w:top w:val="single" w:sz="8" w:space="0" w:color="auto"/>
              <w:left w:val="single" w:sz="4" w:space="0" w:color="auto"/>
              <w:bottom w:val="single" w:sz="8" w:space="0" w:color="000000"/>
              <w:right w:val="single" w:sz="8" w:space="0" w:color="auto"/>
            </w:tcBorders>
            <w:vAlign w:val="center"/>
            <w:hideMark/>
          </w:tcPr>
          <w:p w14:paraId="195C1A0B" w14:textId="77777777" w:rsidR="00B96700" w:rsidRPr="00AC0422" w:rsidRDefault="00B96700" w:rsidP="00391BF1">
            <w:pPr>
              <w:rPr>
                <w:rFonts w:asciiTheme="minorHAnsi" w:hAnsiTheme="minorHAnsi" w:cstheme="minorHAnsi"/>
                <w:color w:val="000000"/>
                <w:szCs w:val="20"/>
              </w:rPr>
            </w:pPr>
          </w:p>
        </w:tc>
      </w:tr>
      <w:tr w:rsidR="00B96700" w:rsidRPr="00AC0422" w14:paraId="778FE396" w14:textId="77777777" w:rsidTr="00391BF1">
        <w:trPr>
          <w:trHeight w:val="271"/>
        </w:trPr>
        <w:tc>
          <w:tcPr>
            <w:tcW w:w="2967" w:type="dxa"/>
            <w:vMerge/>
            <w:tcBorders>
              <w:top w:val="single" w:sz="8" w:space="0" w:color="auto"/>
              <w:left w:val="single" w:sz="8" w:space="0" w:color="auto"/>
              <w:bottom w:val="single" w:sz="8" w:space="0" w:color="000000"/>
              <w:right w:val="single" w:sz="4" w:space="0" w:color="auto"/>
            </w:tcBorders>
            <w:vAlign w:val="center"/>
            <w:hideMark/>
          </w:tcPr>
          <w:p w14:paraId="613879AB"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8" w:space="0" w:color="auto"/>
              <w:right w:val="single" w:sz="4" w:space="0" w:color="auto"/>
            </w:tcBorders>
            <w:shd w:val="clear" w:color="auto" w:fill="auto"/>
            <w:vAlign w:val="center"/>
            <w:hideMark/>
          </w:tcPr>
          <w:p w14:paraId="4EA078D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Cross-sectoral coordination for climate adaptation.</w:t>
            </w:r>
          </w:p>
        </w:tc>
        <w:tc>
          <w:tcPr>
            <w:tcW w:w="2368" w:type="dxa"/>
            <w:vMerge/>
            <w:tcBorders>
              <w:top w:val="single" w:sz="8" w:space="0" w:color="auto"/>
              <w:left w:val="single" w:sz="4" w:space="0" w:color="auto"/>
              <w:bottom w:val="single" w:sz="8" w:space="0" w:color="000000"/>
              <w:right w:val="single" w:sz="8" w:space="0" w:color="auto"/>
            </w:tcBorders>
            <w:vAlign w:val="center"/>
            <w:hideMark/>
          </w:tcPr>
          <w:p w14:paraId="7D4913F7" w14:textId="77777777" w:rsidR="00B96700" w:rsidRPr="00AC0422" w:rsidRDefault="00B96700" w:rsidP="00391BF1">
            <w:pPr>
              <w:rPr>
                <w:rFonts w:asciiTheme="minorHAnsi" w:hAnsiTheme="minorHAnsi" w:cstheme="minorHAnsi"/>
                <w:color w:val="000000"/>
                <w:szCs w:val="20"/>
              </w:rPr>
            </w:pPr>
          </w:p>
        </w:tc>
      </w:tr>
      <w:tr w:rsidR="00B96700" w:rsidRPr="00AC0422" w14:paraId="49B98CC0" w14:textId="77777777" w:rsidTr="00391BF1">
        <w:trPr>
          <w:trHeight w:val="258"/>
        </w:trPr>
        <w:tc>
          <w:tcPr>
            <w:tcW w:w="2967" w:type="dxa"/>
            <w:vMerge w:val="restart"/>
            <w:tcBorders>
              <w:top w:val="nil"/>
              <w:left w:val="single" w:sz="8" w:space="0" w:color="auto"/>
              <w:bottom w:val="single" w:sz="8" w:space="0" w:color="000000"/>
              <w:right w:val="single" w:sz="4" w:space="0" w:color="auto"/>
            </w:tcBorders>
            <w:shd w:val="clear" w:color="auto" w:fill="auto"/>
            <w:vAlign w:val="center"/>
            <w:hideMark/>
          </w:tcPr>
          <w:p w14:paraId="661AF13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Risk and Vulnerability Assessments (CRVA)</w:t>
            </w:r>
          </w:p>
        </w:tc>
        <w:tc>
          <w:tcPr>
            <w:tcW w:w="4605" w:type="dxa"/>
            <w:tcBorders>
              <w:top w:val="nil"/>
              <w:left w:val="nil"/>
              <w:bottom w:val="single" w:sz="4" w:space="0" w:color="auto"/>
              <w:right w:val="single" w:sz="4" w:space="0" w:color="auto"/>
            </w:tcBorders>
            <w:shd w:val="clear" w:color="auto" w:fill="auto"/>
            <w:vAlign w:val="center"/>
            <w:hideMark/>
          </w:tcPr>
          <w:p w14:paraId="32A5CC3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Conducting and interpreting risk and vulnerability assessments.</w:t>
            </w:r>
          </w:p>
        </w:tc>
        <w:tc>
          <w:tcPr>
            <w:tcW w:w="2368" w:type="dxa"/>
            <w:vMerge w:val="restart"/>
            <w:tcBorders>
              <w:top w:val="nil"/>
              <w:left w:val="single" w:sz="4" w:space="0" w:color="auto"/>
              <w:bottom w:val="single" w:sz="8" w:space="0" w:color="000000"/>
              <w:right w:val="single" w:sz="8" w:space="0" w:color="auto"/>
            </w:tcBorders>
            <w:shd w:val="clear" w:color="auto" w:fill="auto"/>
            <w:vAlign w:val="center"/>
            <w:hideMark/>
          </w:tcPr>
          <w:p w14:paraId="1D97202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Improves evidence-based adaptation planning.</w:t>
            </w:r>
          </w:p>
        </w:tc>
      </w:tr>
      <w:tr w:rsidR="00B96700" w:rsidRPr="00AC0422" w14:paraId="1E758192" w14:textId="77777777" w:rsidTr="00391BF1">
        <w:trPr>
          <w:trHeight w:val="258"/>
        </w:trPr>
        <w:tc>
          <w:tcPr>
            <w:tcW w:w="2967" w:type="dxa"/>
            <w:vMerge/>
            <w:tcBorders>
              <w:top w:val="nil"/>
              <w:left w:val="single" w:sz="8" w:space="0" w:color="auto"/>
              <w:bottom w:val="single" w:sz="8" w:space="0" w:color="000000"/>
              <w:right w:val="single" w:sz="4" w:space="0" w:color="auto"/>
            </w:tcBorders>
            <w:vAlign w:val="center"/>
            <w:hideMark/>
          </w:tcPr>
          <w:p w14:paraId="6E598301"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7B03B4B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Application of climate risk data in decision-making.</w:t>
            </w:r>
          </w:p>
        </w:tc>
        <w:tc>
          <w:tcPr>
            <w:tcW w:w="2368" w:type="dxa"/>
            <w:vMerge/>
            <w:tcBorders>
              <w:top w:val="nil"/>
              <w:left w:val="single" w:sz="4" w:space="0" w:color="auto"/>
              <w:bottom w:val="single" w:sz="8" w:space="0" w:color="000000"/>
              <w:right w:val="single" w:sz="8" w:space="0" w:color="auto"/>
            </w:tcBorders>
            <w:vAlign w:val="center"/>
            <w:hideMark/>
          </w:tcPr>
          <w:p w14:paraId="583904AF" w14:textId="77777777" w:rsidR="00B96700" w:rsidRPr="00AC0422" w:rsidRDefault="00B96700" w:rsidP="00391BF1">
            <w:pPr>
              <w:rPr>
                <w:rFonts w:asciiTheme="minorHAnsi" w:hAnsiTheme="minorHAnsi" w:cstheme="minorHAnsi"/>
                <w:color w:val="000000"/>
                <w:szCs w:val="20"/>
              </w:rPr>
            </w:pPr>
          </w:p>
        </w:tc>
      </w:tr>
      <w:tr w:rsidR="00B96700" w:rsidRPr="00AC0422" w14:paraId="5501E374" w14:textId="77777777" w:rsidTr="00391BF1">
        <w:trPr>
          <w:trHeight w:val="271"/>
        </w:trPr>
        <w:tc>
          <w:tcPr>
            <w:tcW w:w="2967" w:type="dxa"/>
            <w:vMerge/>
            <w:tcBorders>
              <w:top w:val="nil"/>
              <w:left w:val="single" w:sz="8" w:space="0" w:color="auto"/>
              <w:bottom w:val="single" w:sz="8" w:space="0" w:color="000000"/>
              <w:right w:val="single" w:sz="4" w:space="0" w:color="auto"/>
            </w:tcBorders>
            <w:vAlign w:val="center"/>
            <w:hideMark/>
          </w:tcPr>
          <w:p w14:paraId="1CF88945"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8" w:space="0" w:color="auto"/>
              <w:right w:val="single" w:sz="4" w:space="0" w:color="auto"/>
            </w:tcBorders>
            <w:shd w:val="clear" w:color="auto" w:fill="auto"/>
            <w:vAlign w:val="center"/>
            <w:hideMark/>
          </w:tcPr>
          <w:p w14:paraId="05B6DDA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Downscaling climate projections for adaptation planning.</w:t>
            </w:r>
          </w:p>
        </w:tc>
        <w:tc>
          <w:tcPr>
            <w:tcW w:w="2368" w:type="dxa"/>
            <w:vMerge/>
            <w:tcBorders>
              <w:top w:val="nil"/>
              <w:left w:val="single" w:sz="4" w:space="0" w:color="auto"/>
              <w:bottom w:val="single" w:sz="8" w:space="0" w:color="000000"/>
              <w:right w:val="single" w:sz="8" w:space="0" w:color="auto"/>
            </w:tcBorders>
            <w:vAlign w:val="center"/>
            <w:hideMark/>
          </w:tcPr>
          <w:p w14:paraId="536140DB" w14:textId="77777777" w:rsidR="00B96700" w:rsidRPr="00AC0422" w:rsidRDefault="00B96700" w:rsidP="00391BF1">
            <w:pPr>
              <w:rPr>
                <w:rFonts w:asciiTheme="minorHAnsi" w:hAnsiTheme="minorHAnsi" w:cstheme="minorHAnsi"/>
                <w:color w:val="000000"/>
                <w:szCs w:val="20"/>
              </w:rPr>
            </w:pPr>
          </w:p>
        </w:tc>
      </w:tr>
      <w:tr w:rsidR="00B96700" w:rsidRPr="00AC0422" w14:paraId="3DC259DC" w14:textId="77777777" w:rsidTr="00391BF1">
        <w:trPr>
          <w:trHeight w:val="517"/>
        </w:trPr>
        <w:tc>
          <w:tcPr>
            <w:tcW w:w="2967" w:type="dxa"/>
            <w:vMerge w:val="restart"/>
            <w:tcBorders>
              <w:top w:val="nil"/>
              <w:left w:val="single" w:sz="8" w:space="0" w:color="auto"/>
              <w:bottom w:val="single" w:sz="8" w:space="0" w:color="000000"/>
              <w:right w:val="single" w:sz="4" w:space="0" w:color="auto"/>
            </w:tcBorders>
            <w:shd w:val="clear" w:color="auto" w:fill="auto"/>
            <w:vAlign w:val="center"/>
            <w:hideMark/>
          </w:tcPr>
          <w:p w14:paraId="447FC76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Sectoral Adaptation Planning</w:t>
            </w:r>
          </w:p>
        </w:tc>
        <w:tc>
          <w:tcPr>
            <w:tcW w:w="4605" w:type="dxa"/>
            <w:tcBorders>
              <w:top w:val="nil"/>
              <w:left w:val="nil"/>
              <w:bottom w:val="single" w:sz="4" w:space="0" w:color="auto"/>
              <w:right w:val="single" w:sz="4" w:space="0" w:color="auto"/>
            </w:tcBorders>
            <w:shd w:val="clear" w:color="auto" w:fill="auto"/>
            <w:vAlign w:val="center"/>
            <w:hideMark/>
          </w:tcPr>
          <w:p w14:paraId="7512D58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adaptation plans for water, agriculture, health, and coastal zones.</w:t>
            </w:r>
          </w:p>
        </w:tc>
        <w:tc>
          <w:tcPr>
            <w:tcW w:w="2368" w:type="dxa"/>
            <w:vMerge w:val="restart"/>
            <w:tcBorders>
              <w:top w:val="nil"/>
              <w:left w:val="single" w:sz="4" w:space="0" w:color="auto"/>
              <w:bottom w:val="single" w:sz="8" w:space="0" w:color="000000"/>
              <w:right w:val="single" w:sz="8" w:space="0" w:color="auto"/>
            </w:tcBorders>
            <w:shd w:val="clear" w:color="auto" w:fill="auto"/>
            <w:vAlign w:val="center"/>
            <w:hideMark/>
          </w:tcPr>
          <w:p w14:paraId="6E974F1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Aligns adaptation actions with sectoral priorities.</w:t>
            </w:r>
          </w:p>
        </w:tc>
      </w:tr>
      <w:tr w:rsidR="00B96700" w:rsidRPr="00AC0422" w14:paraId="20290935" w14:textId="77777777" w:rsidTr="00391BF1">
        <w:trPr>
          <w:trHeight w:val="258"/>
        </w:trPr>
        <w:tc>
          <w:tcPr>
            <w:tcW w:w="2967" w:type="dxa"/>
            <w:vMerge/>
            <w:tcBorders>
              <w:top w:val="nil"/>
              <w:left w:val="single" w:sz="8" w:space="0" w:color="auto"/>
              <w:bottom w:val="single" w:sz="8" w:space="0" w:color="000000"/>
              <w:right w:val="single" w:sz="4" w:space="0" w:color="auto"/>
            </w:tcBorders>
            <w:vAlign w:val="center"/>
            <w:hideMark/>
          </w:tcPr>
          <w:p w14:paraId="63FE166D"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25AF34B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Integrating CCA into sectoral policies and plans.</w:t>
            </w:r>
          </w:p>
        </w:tc>
        <w:tc>
          <w:tcPr>
            <w:tcW w:w="2368" w:type="dxa"/>
            <w:vMerge/>
            <w:tcBorders>
              <w:top w:val="nil"/>
              <w:left w:val="single" w:sz="4" w:space="0" w:color="auto"/>
              <w:bottom w:val="single" w:sz="8" w:space="0" w:color="000000"/>
              <w:right w:val="single" w:sz="8" w:space="0" w:color="auto"/>
            </w:tcBorders>
            <w:vAlign w:val="center"/>
            <w:hideMark/>
          </w:tcPr>
          <w:p w14:paraId="4D85C6D0" w14:textId="77777777" w:rsidR="00B96700" w:rsidRPr="00AC0422" w:rsidRDefault="00B96700" w:rsidP="00391BF1">
            <w:pPr>
              <w:rPr>
                <w:rFonts w:asciiTheme="minorHAnsi" w:hAnsiTheme="minorHAnsi" w:cstheme="minorHAnsi"/>
                <w:color w:val="000000"/>
                <w:szCs w:val="20"/>
              </w:rPr>
            </w:pPr>
          </w:p>
        </w:tc>
      </w:tr>
      <w:tr w:rsidR="00B96700" w:rsidRPr="00AC0422" w14:paraId="2CE6472B" w14:textId="77777777" w:rsidTr="00391BF1">
        <w:trPr>
          <w:trHeight w:val="271"/>
        </w:trPr>
        <w:tc>
          <w:tcPr>
            <w:tcW w:w="2967" w:type="dxa"/>
            <w:vMerge/>
            <w:tcBorders>
              <w:top w:val="nil"/>
              <w:left w:val="single" w:sz="8" w:space="0" w:color="auto"/>
              <w:bottom w:val="single" w:sz="8" w:space="0" w:color="000000"/>
              <w:right w:val="single" w:sz="4" w:space="0" w:color="auto"/>
            </w:tcBorders>
            <w:vAlign w:val="center"/>
            <w:hideMark/>
          </w:tcPr>
          <w:p w14:paraId="61530274"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8" w:space="0" w:color="auto"/>
              <w:right w:val="single" w:sz="4" w:space="0" w:color="auto"/>
            </w:tcBorders>
            <w:shd w:val="clear" w:color="auto" w:fill="auto"/>
            <w:vAlign w:val="center"/>
            <w:hideMark/>
          </w:tcPr>
          <w:p w14:paraId="489211E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Scenario-based adaptation planning.</w:t>
            </w:r>
          </w:p>
        </w:tc>
        <w:tc>
          <w:tcPr>
            <w:tcW w:w="2368" w:type="dxa"/>
            <w:vMerge/>
            <w:tcBorders>
              <w:top w:val="nil"/>
              <w:left w:val="single" w:sz="4" w:space="0" w:color="auto"/>
              <w:bottom w:val="single" w:sz="8" w:space="0" w:color="000000"/>
              <w:right w:val="single" w:sz="8" w:space="0" w:color="auto"/>
            </w:tcBorders>
            <w:vAlign w:val="center"/>
            <w:hideMark/>
          </w:tcPr>
          <w:p w14:paraId="26C69F9E" w14:textId="77777777" w:rsidR="00B96700" w:rsidRPr="00AC0422" w:rsidRDefault="00B96700" w:rsidP="00391BF1">
            <w:pPr>
              <w:rPr>
                <w:rFonts w:asciiTheme="minorHAnsi" w:hAnsiTheme="minorHAnsi" w:cstheme="minorHAnsi"/>
                <w:color w:val="000000"/>
                <w:szCs w:val="20"/>
              </w:rPr>
            </w:pPr>
          </w:p>
        </w:tc>
      </w:tr>
      <w:tr w:rsidR="00B96700" w:rsidRPr="00AC0422" w14:paraId="7E92F75E" w14:textId="77777777" w:rsidTr="00391BF1">
        <w:trPr>
          <w:trHeight w:val="258"/>
        </w:trPr>
        <w:tc>
          <w:tcPr>
            <w:tcW w:w="2967" w:type="dxa"/>
            <w:vMerge w:val="restart"/>
            <w:tcBorders>
              <w:top w:val="nil"/>
              <w:left w:val="single" w:sz="8" w:space="0" w:color="auto"/>
              <w:bottom w:val="single" w:sz="8" w:space="0" w:color="000000"/>
              <w:right w:val="single" w:sz="4" w:space="0" w:color="auto"/>
            </w:tcBorders>
            <w:shd w:val="clear" w:color="auto" w:fill="auto"/>
            <w:vAlign w:val="center"/>
            <w:hideMark/>
          </w:tcPr>
          <w:p w14:paraId="1944FD2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Monitoring, Evaluation, and Reporting (M&amp;E) for Adaptation</w:t>
            </w:r>
          </w:p>
        </w:tc>
        <w:tc>
          <w:tcPr>
            <w:tcW w:w="4605" w:type="dxa"/>
            <w:tcBorders>
              <w:top w:val="nil"/>
              <w:left w:val="nil"/>
              <w:bottom w:val="single" w:sz="4" w:space="0" w:color="auto"/>
              <w:right w:val="single" w:sz="4" w:space="0" w:color="auto"/>
            </w:tcBorders>
            <w:shd w:val="clear" w:color="auto" w:fill="auto"/>
            <w:vAlign w:val="center"/>
            <w:hideMark/>
          </w:tcPr>
          <w:p w14:paraId="06AFEA4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Establishing adaptation M&amp;E systems.</w:t>
            </w:r>
          </w:p>
        </w:tc>
        <w:tc>
          <w:tcPr>
            <w:tcW w:w="2368" w:type="dxa"/>
            <w:vMerge w:val="restart"/>
            <w:tcBorders>
              <w:top w:val="nil"/>
              <w:left w:val="single" w:sz="4" w:space="0" w:color="auto"/>
              <w:bottom w:val="single" w:sz="8" w:space="0" w:color="000000"/>
              <w:right w:val="single" w:sz="8" w:space="0" w:color="auto"/>
            </w:tcBorders>
            <w:shd w:val="clear" w:color="auto" w:fill="auto"/>
            <w:vAlign w:val="center"/>
            <w:hideMark/>
          </w:tcPr>
          <w:p w14:paraId="25BA7E7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Strengthens adaptation effectiveness and accountability.</w:t>
            </w:r>
          </w:p>
        </w:tc>
      </w:tr>
      <w:tr w:rsidR="00B96700" w:rsidRPr="00AC0422" w14:paraId="331D88F8" w14:textId="77777777" w:rsidTr="00391BF1">
        <w:trPr>
          <w:trHeight w:val="258"/>
        </w:trPr>
        <w:tc>
          <w:tcPr>
            <w:tcW w:w="2967" w:type="dxa"/>
            <w:vMerge/>
            <w:tcBorders>
              <w:top w:val="nil"/>
              <w:left w:val="single" w:sz="8" w:space="0" w:color="auto"/>
              <w:bottom w:val="single" w:sz="8" w:space="0" w:color="000000"/>
              <w:right w:val="single" w:sz="4" w:space="0" w:color="auto"/>
            </w:tcBorders>
            <w:vAlign w:val="center"/>
            <w:hideMark/>
          </w:tcPr>
          <w:p w14:paraId="6728C450"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220011F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adaptation indicators and tracking progress.</w:t>
            </w:r>
          </w:p>
        </w:tc>
        <w:tc>
          <w:tcPr>
            <w:tcW w:w="2368" w:type="dxa"/>
            <w:vMerge/>
            <w:tcBorders>
              <w:top w:val="nil"/>
              <w:left w:val="single" w:sz="4" w:space="0" w:color="auto"/>
              <w:bottom w:val="single" w:sz="8" w:space="0" w:color="000000"/>
              <w:right w:val="single" w:sz="8" w:space="0" w:color="auto"/>
            </w:tcBorders>
            <w:vAlign w:val="center"/>
            <w:hideMark/>
          </w:tcPr>
          <w:p w14:paraId="77BD456E" w14:textId="77777777" w:rsidR="00B96700" w:rsidRPr="00AC0422" w:rsidRDefault="00B96700" w:rsidP="00391BF1">
            <w:pPr>
              <w:rPr>
                <w:rFonts w:asciiTheme="minorHAnsi" w:hAnsiTheme="minorHAnsi" w:cstheme="minorHAnsi"/>
                <w:color w:val="000000"/>
                <w:szCs w:val="20"/>
              </w:rPr>
            </w:pPr>
          </w:p>
        </w:tc>
      </w:tr>
      <w:tr w:rsidR="00B96700" w:rsidRPr="00AC0422" w14:paraId="799DA786" w14:textId="77777777" w:rsidTr="00391BF1">
        <w:trPr>
          <w:trHeight w:val="271"/>
        </w:trPr>
        <w:tc>
          <w:tcPr>
            <w:tcW w:w="2967" w:type="dxa"/>
            <w:vMerge/>
            <w:tcBorders>
              <w:top w:val="nil"/>
              <w:left w:val="single" w:sz="8" w:space="0" w:color="auto"/>
              <w:bottom w:val="single" w:sz="8" w:space="0" w:color="000000"/>
              <w:right w:val="single" w:sz="4" w:space="0" w:color="auto"/>
            </w:tcBorders>
            <w:vAlign w:val="center"/>
            <w:hideMark/>
          </w:tcPr>
          <w:p w14:paraId="0F1C5D40"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8" w:space="0" w:color="auto"/>
              <w:right w:val="single" w:sz="4" w:space="0" w:color="auto"/>
            </w:tcBorders>
            <w:shd w:val="clear" w:color="auto" w:fill="auto"/>
            <w:vAlign w:val="center"/>
            <w:hideMark/>
          </w:tcPr>
          <w:p w14:paraId="4E321AD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Data collection and reporting for UNFCCC and NDC updates.</w:t>
            </w:r>
          </w:p>
        </w:tc>
        <w:tc>
          <w:tcPr>
            <w:tcW w:w="2368" w:type="dxa"/>
            <w:vMerge/>
            <w:tcBorders>
              <w:top w:val="nil"/>
              <w:left w:val="single" w:sz="4" w:space="0" w:color="auto"/>
              <w:bottom w:val="single" w:sz="8" w:space="0" w:color="000000"/>
              <w:right w:val="single" w:sz="8" w:space="0" w:color="auto"/>
            </w:tcBorders>
            <w:vAlign w:val="center"/>
            <w:hideMark/>
          </w:tcPr>
          <w:p w14:paraId="733CABF4" w14:textId="77777777" w:rsidR="00B96700" w:rsidRPr="00AC0422" w:rsidRDefault="00B96700" w:rsidP="00391BF1">
            <w:pPr>
              <w:rPr>
                <w:rFonts w:asciiTheme="minorHAnsi" w:hAnsiTheme="minorHAnsi" w:cstheme="minorHAnsi"/>
                <w:color w:val="000000"/>
                <w:szCs w:val="20"/>
              </w:rPr>
            </w:pPr>
          </w:p>
        </w:tc>
      </w:tr>
      <w:tr w:rsidR="00B96700" w:rsidRPr="00AC0422" w14:paraId="1159CDFA" w14:textId="77777777" w:rsidTr="00391BF1">
        <w:trPr>
          <w:trHeight w:val="517"/>
        </w:trPr>
        <w:tc>
          <w:tcPr>
            <w:tcW w:w="2967" w:type="dxa"/>
            <w:vMerge w:val="restart"/>
            <w:tcBorders>
              <w:top w:val="nil"/>
              <w:left w:val="single" w:sz="8" w:space="0" w:color="auto"/>
              <w:bottom w:val="single" w:sz="8" w:space="0" w:color="000000"/>
              <w:right w:val="single" w:sz="4" w:space="0" w:color="auto"/>
            </w:tcBorders>
            <w:shd w:val="clear" w:color="auto" w:fill="auto"/>
            <w:vAlign w:val="center"/>
            <w:hideMark/>
          </w:tcPr>
          <w:p w14:paraId="3030B17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Finance and Proposal Development</w:t>
            </w:r>
          </w:p>
        </w:tc>
        <w:tc>
          <w:tcPr>
            <w:tcW w:w="4605" w:type="dxa"/>
            <w:tcBorders>
              <w:top w:val="nil"/>
              <w:left w:val="nil"/>
              <w:bottom w:val="single" w:sz="4" w:space="0" w:color="auto"/>
              <w:right w:val="single" w:sz="4" w:space="0" w:color="auto"/>
            </w:tcBorders>
            <w:shd w:val="clear" w:color="auto" w:fill="auto"/>
            <w:vAlign w:val="center"/>
            <w:hideMark/>
          </w:tcPr>
          <w:p w14:paraId="57162BA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Accessing international climate finance (GCF, GEF, Adaptation Fund).</w:t>
            </w:r>
          </w:p>
        </w:tc>
        <w:tc>
          <w:tcPr>
            <w:tcW w:w="2368" w:type="dxa"/>
            <w:vMerge w:val="restart"/>
            <w:tcBorders>
              <w:top w:val="nil"/>
              <w:left w:val="single" w:sz="4" w:space="0" w:color="auto"/>
              <w:bottom w:val="single" w:sz="8" w:space="0" w:color="000000"/>
              <w:right w:val="single" w:sz="8" w:space="0" w:color="auto"/>
            </w:tcBorders>
            <w:shd w:val="clear" w:color="auto" w:fill="auto"/>
            <w:vAlign w:val="center"/>
            <w:hideMark/>
          </w:tcPr>
          <w:p w14:paraId="0896843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Enhances financial sustainability of adaptation initiatives.</w:t>
            </w:r>
          </w:p>
        </w:tc>
      </w:tr>
      <w:tr w:rsidR="00B96700" w:rsidRPr="00AC0422" w14:paraId="2B79B7DD" w14:textId="77777777" w:rsidTr="00391BF1">
        <w:trPr>
          <w:trHeight w:val="258"/>
        </w:trPr>
        <w:tc>
          <w:tcPr>
            <w:tcW w:w="2967" w:type="dxa"/>
            <w:vMerge/>
            <w:tcBorders>
              <w:top w:val="nil"/>
              <w:left w:val="single" w:sz="8" w:space="0" w:color="auto"/>
              <w:bottom w:val="single" w:sz="8" w:space="0" w:color="000000"/>
              <w:right w:val="single" w:sz="4" w:space="0" w:color="auto"/>
            </w:tcBorders>
            <w:vAlign w:val="center"/>
            <w:hideMark/>
          </w:tcPr>
          <w:p w14:paraId="3D3FAD90"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4EF23A9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bankable adaptation project proposals.</w:t>
            </w:r>
          </w:p>
        </w:tc>
        <w:tc>
          <w:tcPr>
            <w:tcW w:w="2368" w:type="dxa"/>
            <w:vMerge/>
            <w:tcBorders>
              <w:top w:val="nil"/>
              <w:left w:val="single" w:sz="4" w:space="0" w:color="auto"/>
              <w:bottom w:val="single" w:sz="8" w:space="0" w:color="000000"/>
              <w:right w:val="single" w:sz="8" w:space="0" w:color="auto"/>
            </w:tcBorders>
            <w:vAlign w:val="center"/>
            <w:hideMark/>
          </w:tcPr>
          <w:p w14:paraId="3DBD8A91" w14:textId="77777777" w:rsidR="00B96700" w:rsidRPr="00AC0422" w:rsidRDefault="00B96700" w:rsidP="00391BF1">
            <w:pPr>
              <w:rPr>
                <w:rFonts w:asciiTheme="minorHAnsi" w:hAnsiTheme="minorHAnsi" w:cstheme="minorHAnsi"/>
                <w:color w:val="000000"/>
                <w:szCs w:val="20"/>
              </w:rPr>
            </w:pPr>
          </w:p>
        </w:tc>
      </w:tr>
      <w:tr w:rsidR="00B96700" w:rsidRPr="00AC0422" w14:paraId="00F370FB" w14:textId="77777777" w:rsidTr="00391BF1">
        <w:trPr>
          <w:trHeight w:val="271"/>
        </w:trPr>
        <w:tc>
          <w:tcPr>
            <w:tcW w:w="2967" w:type="dxa"/>
            <w:vMerge/>
            <w:tcBorders>
              <w:top w:val="nil"/>
              <w:left w:val="single" w:sz="8" w:space="0" w:color="auto"/>
              <w:bottom w:val="single" w:sz="8" w:space="0" w:color="000000"/>
              <w:right w:val="single" w:sz="4" w:space="0" w:color="auto"/>
            </w:tcBorders>
            <w:vAlign w:val="center"/>
            <w:hideMark/>
          </w:tcPr>
          <w:p w14:paraId="778F754B"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8" w:space="0" w:color="auto"/>
              <w:right w:val="single" w:sz="4" w:space="0" w:color="auto"/>
            </w:tcBorders>
            <w:shd w:val="clear" w:color="auto" w:fill="auto"/>
            <w:vAlign w:val="center"/>
            <w:hideMark/>
          </w:tcPr>
          <w:p w14:paraId="5593C08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Public-private partnerships for adaptation finance.</w:t>
            </w:r>
          </w:p>
        </w:tc>
        <w:tc>
          <w:tcPr>
            <w:tcW w:w="2368" w:type="dxa"/>
            <w:vMerge/>
            <w:tcBorders>
              <w:top w:val="nil"/>
              <w:left w:val="single" w:sz="4" w:space="0" w:color="auto"/>
              <w:bottom w:val="single" w:sz="8" w:space="0" w:color="000000"/>
              <w:right w:val="single" w:sz="8" w:space="0" w:color="auto"/>
            </w:tcBorders>
            <w:vAlign w:val="center"/>
            <w:hideMark/>
          </w:tcPr>
          <w:p w14:paraId="204E8FE8" w14:textId="77777777" w:rsidR="00B96700" w:rsidRPr="00AC0422" w:rsidRDefault="00B96700" w:rsidP="00391BF1">
            <w:pPr>
              <w:rPr>
                <w:rFonts w:asciiTheme="minorHAnsi" w:hAnsiTheme="minorHAnsi" w:cstheme="minorHAnsi"/>
                <w:color w:val="000000"/>
                <w:szCs w:val="20"/>
              </w:rPr>
            </w:pPr>
          </w:p>
        </w:tc>
      </w:tr>
      <w:tr w:rsidR="00B96700" w:rsidRPr="00AC0422" w14:paraId="682194D1" w14:textId="77777777" w:rsidTr="00391BF1">
        <w:trPr>
          <w:trHeight w:val="258"/>
        </w:trPr>
        <w:tc>
          <w:tcPr>
            <w:tcW w:w="2967" w:type="dxa"/>
            <w:vMerge w:val="restart"/>
            <w:tcBorders>
              <w:top w:val="nil"/>
              <w:left w:val="single" w:sz="8" w:space="0" w:color="auto"/>
              <w:bottom w:val="single" w:sz="4" w:space="0" w:color="auto"/>
              <w:right w:val="single" w:sz="4" w:space="0" w:color="auto"/>
            </w:tcBorders>
            <w:shd w:val="clear" w:color="auto" w:fill="auto"/>
            <w:vAlign w:val="center"/>
            <w:hideMark/>
          </w:tcPr>
          <w:p w14:paraId="1641FB6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Information and Early Warning Systems (EWS)</w:t>
            </w:r>
          </w:p>
        </w:tc>
        <w:tc>
          <w:tcPr>
            <w:tcW w:w="4605" w:type="dxa"/>
            <w:tcBorders>
              <w:top w:val="nil"/>
              <w:left w:val="nil"/>
              <w:bottom w:val="single" w:sz="4" w:space="0" w:color="auto"/>
              <w:right w:val="single" w:sz="4" w:space="0" w:color="auto"/>
            </w:tcBorders>
            <w:shd w:val="clear" w:color="auto" w:fill="auto"/>
            <w:vAlign w:val="center"/>
            <w:hideMark/>
          </w:tcPr>
          <w:p w14:paraId="7C56EE1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Role of meteorological data in adaptation planning.</w:t>
            </w:r>
          </w:p>
        </w:tc>
        <w:tc>
          <w:tcPr>
            <w:tcW w:w="2368" w:type="dxa"/>
            <w:vMerge w:val="restart"/>
            <w:tcBorders>
              <w:top w:val="nil"/>
              <w:left w:val="single" w:sz="4" w:space="0" w:color="auto"/>
              <w:bottom w:val="single" w:sz="4" w:space="0" w:color="auto"/>
              <w:right w:val="single" w:sz="8" w:space="0" w:color="auto"/>
            </w:tcBorders>
            <w:shd w:val="clear" w:color="auto" w:fill="auto"/>
            <w:vAlign w:val="center"/>
            <w:hideMark/>
          </w:tcPr>
          <w:p w14:paraId="2DF9EDB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Improves disaster risk reduction and resilience.</w:t>
            </w:r>
          </w:p>
        </w:tc>
      </w:tr>
      <w:tr w:rsidR="00B96700" w:rsidRPr="00AC0422" w14:paraId="50C8ABFA"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6B57021F"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03F9443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Strengthening climate information services.</w:t>
            </w:r>
          </w:p>
        </w:tc>
        <w:tc>
          <w:tcPr>
            <w:tcW w:w="2368" w:type="dxa"/>
            <w:vMerge/>
            <w:tcBorders>
              <w:top w:val="nil"/>
              <w:left w:val="single" w:sz="4" w:space="0" w:color="auto"/>
              <w:bottom w:val="single" w:sz="4" w:space="0" w:color="auto"/>
              <w:right w:val="single" w:sz="8" w:space="0" w:color="auto"/>
            </w:tcBorders>
            <w:vAlign w:val="center"/>
            <w:hideMark/>
          </w:tcPr>
          <w:p w14:paraId="0CB9D90E" w14:textId="77777777" w:rsidR="00B96700" w:rsidRPr="00AC0422" w:rsidRDefault="00B96700" w:rsidP="00391BF1">
            <w:pPr>
              <w:rPr>
                <w:rFonts w:asciiTheme="minorHAnsi" w:hAnsiTheme="minorHAnsi" w:cstheme="minorHAnsi"/>
                <w:color w:val="000000"/>
                <w:szCs w:val="20"/>
              </w:rPr>
            </w:pPr>
          </w:p>
        </w:tc>
      </w:tr>
      <w:tr w:rsidR="00B96700" w:rsidRPr="00AC0422" w14:paraId="6076158D"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3D7A7102"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1D4E35B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Community-based early warning systems.</w:t>
            </w:r>
          </w:p>
        </w:tc>
        <w:tc>
          <w:tcPr>
            <w:tcW w:w="2368" w:type="dxa"/>
            <w:vMerge/>
            <w:tcBorders>
              <w:top w:val="nil"/>
              <w:left w:val="single" w:sz="4" w:space="0" w:color="auto"/>
              <w:bottom w:val="single" w:sz="4" w:space="0" w:color="auto"/>
              <w:right w:val="single" w:sz="8" w:space="0" w:color="auto"/>
            </w:tcBorders>
            <w:vAlign w:val="center"/>
            <w:hideMark/>
          </w:tcPr>
          <w:p w14:paraId="5C706F99" w14:textId="77777777" w:rsidR="00B96700" w:rsidRPr="00AC0422" w:rsidRDefault="00B96700" w:rsidP="00391BF1">
            <w:pPr>
              <w:rPr>
                <w:rFonts w:asciiTheme="minorHAnsi" w:hAnsiTheme="minorHAnsi" w:cstheme="minorHAnsi"/>
                <w:color w:val="000000"/>
                <w:szCs w:val="20"/>
              </w:rPr>
            </w:pPr>
          </w:p>
        </w:tc>
      </w:tr>
      <w:tr w:rsidR="00B96700" w:rsidRPr="00AC0422" w14:paraId="5A0AA5E2" w14:textId="77777777" w:rsidTr="00391BF1">
        <w:trPr>
          <w:trHeight w:val="258"/>
        </w:trPr>
        <w:tc>
          <w:tcPr>
            <w:tcW w:w="2967" w:type="dxa"/>
            <w:vMerge w:val="restart"/>
            <w:tcBorders>
              <w:top w:val="nil"/>
              <w:left w:val="single" w:sz="8" w:space="0" w:color="auto"/>
              <w:bottom w:val="single" w:sz="4" w:space="0" w:color="auto"/>
              <w:right w:val="single" w:sz="4" w:space="0" w:color="auto"/>
            </w:tcBorders>
            <w:shd w:val="clear" w:color="auto" w:fill="auto"/>
            <w:vAlign w:val="center"/>
            <w:hideMark/>
          </w:tcPr>
          <w:p w14:paraId="2D259B5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Gender and Social Inclusion in Adaptation</w:t>
            </w:r>
          </w:p>
        </w:tc>
        <w:tc>
          <w:tcPr>
            <w:tcW w:w="4605" w:type="dxa"/>
            <w:tcBorders>
              <w:top w:val="nil"/>
              <w:left w:val="nil"/>
              <w:bottom w:val="single" w:sz="4" w:space="0" w:color="auto"/>
              <w:right w:val="single" w:sz="4" w:space="0" w:color="auto"/>
            </w:tcBorders>
            <w:shd w:val="clear" w:color="auto" w:fill="auto"/>
            <w:vAlign w:val="center"/>
            <w:hideMark/>
          </w:tcPr>
          <w:p w14:paraId="16C424C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Addressing gender and social inequalities in adaptation.</w:t>
            </w:r>
          </w:p>
        </w:tc>
        <w:tc>
          <w:tcPr>
            <w:tcW w:w="2368" w:type="dxa"/>
            <w:vMerge w:val="restart"/>
            <w:tcBorders>
              <w:top w:val="nil"/>
              <w:left w:val="single" w:sz="4" w:space="0" w:color="auto"/>
              <w:bottom w:val="single" w:sz="4" w:space="0" w:color="auto"/>
              <w:right w:val="single" w:sz="8" w:space="0" w:color="auto"/>
            </w:tcBorders>
            <w:shd w:val="clear" w:color="auto" w:fill="auto"/>
            <w:vAlign w:val="center"/>
            <w:hideMark/>
          </w:tcPr>
          <w:p w14:paraId="7DC3C28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Ensures equitable adaptation outcomes.</w:t>
            </w:r>
          </w:p>
        </w:tc>
      </w:tr>
      <w:tr w:rsidR="00B96700" w:rsidRPr="00AC0422" w14:paraId="5292297D"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658ABE12"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16AA92C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Gender-responsive adaptation planning.</w:t>
            </w:r>
          </w:p>
        </w:tc>
        <w:tc>
          <w:tcPr>
            <w:tcW w:w="2368" w:type="dxa"/>
            <w:vMerge/>
            <w:tcBorders>
              <w:top w:val="nil"/>
              <w:left w:val="single" w:sz="4" w:space="0" w:color="auto"/>
              <w:bottom w:val="single" w:sz="4" w:space="0" w:color="auto"/>
              <w:right w:val="single" w:sz="8" w:space="0" w:color="auto"/>
            </w:tcBorders>
            <w:vAlign w:val="center"/>
            <w:hideMark/>
          </w:tcPr>
          <w:p w14:paraId="28CCC444" w14:textId="77777777" w:rsidR="00B96700" w:rsidRPr="00AC0422" w:rsidRDefault="00B96700" w:rsidP="00391BF1">
            <w:pPr>
              <w:rPr>
                <w:rFonts w:asciiTheme="minorHAnsi" w:hAnsiTheme="minorHAnsi" w:cstheme="minorHAnsi"/>
                <w:color w:val="000000"/>
                <w:szCs w:val="20"/>
              </w:rPr>
            </w:pPr>
          </w:p>
        </w:tc>
      </w:tr>
      <w:tr w:rsidR="00B96700" w:rsidRPr="00AC0422" w14:paraId="3936E491"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4C4E7082"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783F0BB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Mainstreaming vulnerable groups in climate policies.</w:t>
            </w:r>
          </w:p>
        </w:tc>
        <w:tc>
          <w:tcPr>
            <w:tcW w:w="2368" w:type="dxa"/>
            <w:vMerge/>
            <w:tcBorders>
              <w:top w:val="nil"/>
              <w:left w:val="single" w:sz="4" w:space="0" w:color="auto"/>
              <w:bottom w:val="single" w:sz="4" w:space="0" w:color="auto"/>
              <w:right w:val="single" w:sz="8" w:space="0" w:color="auto"/>
            </w:tcBorders>
            <w:vAlign w:val="center"/>
            <w:hideMark/>
          </w:tcPr>
          <w:p w14:paraId="25B20357" w14:textId="77777777" w:rsidR="00B96700" w:rsidRPr="00AC0422" w:rsidRDefault="00B96700" w:rsidP="00391BF1">
            <w:pPr>
              <w:rPr>
                <w:rFonts w:asciiTheme="minorHAnsi" w:hAnsiTheme="minorHAnsi" w:cstheme="minorHAnsi"/>
                <w:color w:val="000000"/>
                <w:szCs w:val="20"/>
              </w:rPr>
            </w:pPr>
          </w:p>
        </w:tc>
      </w:tr>
      <w:tr w:rsidR="00B96700" w:rsidRPr="00AC0422" w14:paraId="1CC4FC06" w14:textId="77777777" w:rsidTr="00391BF1">
        <w:trPr>
          <w:trHeight w:val="258"/>
        </w:trPr>
        <w:tc>
          <w:tcPr>
            <w:tcW w:w="2967" w:type="dxa"/>
            <w:vMerge w:val="restart"/>
            <w:tcBorders>
              <w:top w:val="nil"/>
              <w:left w:val="single" w:sz="8" w:space="0" w:color="auto"/>
              <w:bottom w:val="single" w:sz="4" w:space="0" w:color="auto"/>
              <w:right w:val="single" w:sz="4" w:space="0" w:color="auto"/>
            </w:tcBorders>
            <w:shd w:val="clear" w:color="auto" w:fill="auto"/>
            <w:vAlign w:val="center"/>
            <w:hideMark/>
          </w:tcPr>
          <w:p w14:paraId="09EB5ED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Ecosystem-Based Adaptation (</w:t>
            </w:r>
            <w:proofErr w:type="spellStart"/>
            <w:r w:rsidRPr="00AC0422">
              <w:rPr>
                <w:rFonts w:asciiTheme="minorHAnsi" w:hAnsiTheme="minorHAnsi" w:cstheme="minorHAnsi"/>
                <w:color w:val="000000"/>
                <w:szCs w:val="20"/>
              </w:rPr>
              <w:t>EbA</w:t>
            </w:r>
            <w:proofErr w:type="spellEnd"/>
            <w:r w:rsidRPr="00AC0422">
              <w:rPr>
                <w:rFonts w:asciiTheme="minorHAnsi" w:hAnsiTheme="minorHAnsi" w:cstheme="minorHAnsi"/>
                <w:color w:val="000000"/>
                <w:szCs w:val="20"/>
              </w:rPr>
              <w:t>) Approaches</w:t>
            </w:r>
          </w:p>
        </w:tc>
        <w:tc>
          <w:tcPr>
            <w:tcW w:w="4605" w:type="dxa"/>
            <w:tcBorders>
              <w:top w:val="nil"/>
              <w:left w:val="nil"/>
              <w:bottom w:val="single" w:sz="4" w:space="0" w:color="auto"/>
              <w:right w:val="single" w:sz="4" w:space="0" w:color="auto"/>
            </w:tcBorders>
            <w:shd w:val="clear" w:color="auto" w:fill="auto"/>
            <w:vAlign w:val="center"/>
            <w:hideMark/>
          </w:tcPr>
          <w:p w14:paraId="25A2924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Nature-based solutions for climate resilience.</w:t>
            </w:r>
          </w:p>
        </w:tc>
        <w:tc>
          <w:tcPr>
            <w:tcW w:w="2368" w:type="dxa"/>
            <w:vMerge w:val="restart"/>
            <w:tcBorders>
              <w:top w:val="nil"/>
              <w:left w:val="single" w:sz="4" w:space="0" w:color="auto"/>
              <w:bottom w:val="single" w:sz="4" w:space="0" w:color="auto"/>
              <w:right w:val="single" w:sz="8" w:space="0" w:color="auto"/>
            </w:tcBorders>
            <w:shd w:val="clear" w:color="auto" w:fill="auto"/>
            <w:vAlign w:val="center"/>
            <w:hideMark/>
          </w:tcPr>
          <w:p w14:paraId="68D3B49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Enhances environmental sustainability of adaptation actions.</w:t>
            </w:r>
          </w:p>
        </w:tc>
      </w:tr>
      <w:tr w:rsidR="00B96700" w:rsidRPr="00AC0422" w14:paraId="629A5927"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4C0537DD"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7F3CF04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Coastal and watershed management strategies.</w:t>
            </w:r>
          </w:p>
        </w:tc>
        <w:tc>
          <w:tcPr>
            <w:tcW w:w="2368" w:type="dxa"/>
            <w:vMerge/>
            <w:tcBorders>
              <w:top w:val="nil"/>
              <w:left w:val="single" w:sz="4" w:space="0" w:color="auto"/>
              <w:bottom w:val="single" w:sz="4" w:space="0" w:color="auto"/>
              <w:right w:val="single" w:sz="8" w:space="0" w:color="auto"/>
            </w:tcBorders>
            <w:vAlign w:val="center"/>
            <w:hideMark/>
          </w:tcPr>
          <w:p w14:paraId="5FDAA936" w14:textId="77777777" w:rsidR="00B96700" w:rsidRPr="00AC0422" w:rsidRDefault="00B96700" w:rsidP="00391BF1">
            <w:pPr>
              <w:rPr>
                <w:rFonts w:asciiTheme="minorHAnsi" w:hAnsiTheme="minorHAnsi" w:cstheme="minorHAnsi"/>
                <w:color w:val="000000"/>
                <w:szCs w:val="20"/>
              </w:rPr>
            </w:pPr>
          </w:p>
        </w:tc>
      </w:tr>
      <w:tr w:rsidR="00B96700" w:rsidRPr="00AC0422" w14:paraId="28DC4081"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565B1385"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7F08B3C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Agroforestry and sustainable land use planning.</w:t>
            </w:r>
          </w:p>
        </w:tc>
        <w:tc>
          <w:tcPr>
            <w:tcW w:w="2368" w:type="dxa"/>
            <w:vMerge/>
            <w:tcBorders>
              <w:top w:val="nil"/>
              <w:left w:val="single" w:sz="4" w:space="0" w:color="auto"/>
              <w:bottom w:val="single" w:sz="4" w:space="0" w:color="auto"/>
              <w:right w:val="single" w:sz="8" w:space="0" w:color="auto"/>
            </w:tcBorders>
            <w:vAlign w:val="center"/>
            <w:hideMark/>
          </w:tcPr>
          <w:p w14:paraId="0BE69B30" w14:textId="77777777" w:rsidR="00B96700" w:rsidRPr="00AC0422" w:rsidRDefault="00B96700" w:rsidP="00391BF1">
            <w:pPr>
              <w:rPr>
                <w:rFonts w:asciiTheme="minorHAnsi" w:hAnsiTheme="minorHAnsi" w:cstheme="minorHAnsi"/>
                <w:color w:val="000000"/>
                <w:szCs w:val="20"/>
              </w:rPr>
            </w:pPr>
          </w:p>
        </w:tc>
      </w:tr>
      <w:tr w:rsidR="00B96700" w:rsidRPr="00AC0422" w14:paraId="50CB2CBA" w14:textId="77777777" w:rsidTr="00391BF1">
        <w:trPr>
          <w:trHeight w:val="258"/>
        </w:trPr>
        <w:tc>
          <w:tcPr>
            <w:tcW w:w="2967" w:type="dxa"/>
            <w:vMerge w:val="restart"/>
            <w:tcBorders>
              <w:top w:val="nil"/>
              <w:left w:val="single" w:sz="8" w:space="0" w:color="auto"/>
              <w:bottom w:val="single" w:sz="4" w:space="0" w:color="auto"/>
              <w:right w:val="single" w:sz="4" w:space="0" w:color="auto"/>
            </w:tcBorders>
            <w:shd w:val="clear" w:color="auto" w:fill="auto"/>
            <w:vAlign w:val="center"/>
            <w:hideMark/>
          </w:tcPr>
          <w:p w14:paraId="24A353F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Local Governance and Community-Based Adaptation (CBA)</w:t>
            </w:r>
          </w:p>
        </w:tc>
        <w:tc>
          <w:tcPr>
            <w:tcW w:w="4605" w:type="dxa"/>
            <w:tcBorders>
              <w:top w:val="nil"/>
              <w:left w:val="nil"/>
              <w:bottom w:val="single" w:sz="4" w:space="0" w:color="auto"/>
              <w:right w:val="single" w:sz="4" w:space="0" w:color="auto"/>
            </w:tcBorders>
            <w:shd w:val="clear" w:color="auto" w:fill="auto"/>
            <w:vAlign w:val="center"/>
            <w:hideMark/>
          </w:tcPr>
          <w:p w14:paraId="28D88F3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Strengthening local government role in adaptation.</w:t>
            </w:r>
          </w:p>
        </w:tc>
        <w:tc>
          <w:tcPr>
            <w:tcW w:w="2368" w:type="dxa"/>
            <w:vMerge w:val="restart"/>
            <w:tcBorders>
              <w:top w:val="nil"/>
              <w:left w:val="single" w:sz="4" w:space="0" w:color="auto"/>
              <w:bottom w:val="single" w:sz="4" w:space="0" w:color="auto"/>
              <w:right w:val="single" w:sz="8" w:space="0" w:color="auto"/>
            </w:tcBorders>
            <w:shd w:val="clear" w:color="auto" w:fill="auto"/>
            <w:vAlign w:val="center"/>
            <w:hideMark/>
          </w:tcPr>
          <w:p w14:paraId="16FBB13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Supports decentralized adaptation planning.</w:t>
            </w:r>
          </w:p>
        </w:tc>
      </w:tr>
      <w:tr w:rsidR="00B96700" w:rsidRPr="00AC0422" w14:paraId="4BA5A8A0"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1D7FC4EC"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49B2540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Engaging communities in climate resilience planning.</w:t>
            </w:r>
          </w:p>
        </w:tc>
        <w:tc>
          <w:tcPr>
            <w:tcW w:w="2368" w:type="dxa"/>
            <w:vMerge/>
            <w:tcBorders>
              <w:top w:val="nil"/>
              <w:left w:val="single" w:sz="4" w:space="0" w:color="auto"/>
              <w:bottom w:val="single" w:sz="4" w:space="0" w:color="auto"/>
              <w:right w:val="single" w:sz="8" w:space="0" w:color="auto"/>
            </w:tcBorders>
            <w:vAlign w:val="center"/>
            <w:hideMark/>
          </w:tcPr>
          <w:p w14:paraId="594F20AE" w14:textId="77777777" w:rsidR="00B96700" w:rsidRPr="00AC0422" w:rsidRDefault="00B96700" w:rsidP="00391BF1">
            <w:pPr>
              <w:rPr>
                <w:rFonts w:asciiTheme="minorHAnsi" w:hAnsiTheme="minorHAnsi" w:cstheme="minorHAnsi"/>
                <w:color w:val="000000"/>
                <w:szCs w:val="20"/>
              </w:rPr>
            </w:pPr>
          </w:p>
        </w:tc>
      </w:tr>
      <w:tr w:rsidR="00B96700" w:rsidRPr="00AC0422" w14:paraId="65924919" w14:textId="77777777" w:rsidTr="00391BF1">
        <w:trPr>
          <w:trHeight w:val="258"/>
        </w:trPr>
        <w:tc>
          <w:tcPr>
            <w:tcW w:w="2967" w:type="dxa"/>
            <w:vMerge/>
            <w:tcBorders>
              <w:top w:val="nil"/>
              <w:left w:val="single" w:sz="8" w:space="0" w:color="auto"/>
              <w:bottom w:val="single" w:sz="4" w:space="0" w:color="auto"/>
              <w:right w:val="single" w:sz="4" w:space="0" w:color="auto"/>
            </w:tcBorders>
            <w:vAlign w:val="center"/>
            <w:hideMark/>
          </w:tcPr>
          <w:p w14:paraId="2D42CDCE" w14:textId="77777777" w:rsidR="00B96700" w:rsidRPr="00AC0422" w:rsidRDefault="00B96700" w:rsidP="00391BF1">
            <w:pPr>
              <w:rPr>
                <w:rFonts w:asciiTheme="minorHAnsi" w:hAnsiTheme="minorHAnsi" w:cstheme="minorHAnsi"/>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76DE1CD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Capacity building for municipal adaptation leadership.</w:t>
            </w:r>
          </w:p>
        </w:tc>
        <w:tc>
          <w:tcPr>
            <w:tcW w:w="2368" w:type="dxa"/>
            <w:vMerge/>
            <w:tcBorders>
              <w:top w:val="nil"/>
              <w:left w:val="single" w:sz="4" w:space="0" w:color="auto"/>
              <w:bottom w:val="single" w:sz="4" w:space="0" w:color="auto"/>
              <w:right w:val="single" w:sz="8" w:space="0" w:color="auto"/>
            </w:tcBorders>
            <w:vAlign w:val="center"/>
            <w:hideMark/>
          </w:tcPr>
          <w:p w14:paraId="42056F79" w14:textId="77777777" w:rsidR="00B96700" w:rsidRPr="00AC0422" w:rsidRDefault="00B96700" w:rsidP="00391BF1">
            <w:pPr>
              <w:rPr>
                <w:rFonts w:asciiTheme="minorHAnsi" w:hAnsiTheme="minorHAnsi" w:cstheme="minorHAnsi"/>
                <w:color w:val="000000"/>
                <w:szCs w:val="20"/>
              </w:rPr>
            </w:pPr>
          </w:p>
        </w:tc>
      </w:tr>
      <w:tr w:rsidR="00B96700" w:rsidRPr="00AC0422" w14:paraId="523AC733" w14:textId="77777777" w:rsidTr="00391BF1">
        <w:trPr>
          <w:trHeight w:val="258"/>
        </w:trPr>
        <w:tc>
          <w:tcPr>
            <w:tcW w:w="2967" w:type="dxa"/>
            <w:vMerge w:val="restart"/>
            <w:tcBorders>
              <w:top w:val="nil"/>
              <w:left w:val="single" w:sz="8" w:space="0" w:color="auto"/>
              <w:bottom w:val="single" w:sz="8" w:space="0" w:color="000000"/>
              <w:right w:val="single" w:sz="4" w:space="0" w:color="auto"/>
            </w:tcBorders>
            <w:shd w:val="clear" w:color="auto" w:fill="auto"/>
            <w:vAlign w:val="center"/>
            <w:hideMark/>
          </w:tcPr>
          <w:p w14:paraId="380B439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Private Sector Engagement in Adaptation</w:t>
            </w:r>
          </w:p>
        </w:tc>
        <w:tc>
          <w:tcPr>
            <w:tcW w:w="4605" w:type="dxa"/>
            <w:tcBorders>
              <w:top w:val="nil"/>
              <w:left w:val="nil"/>
              <w:bottom w:val="single" w:sz="4" w:space="0" w:color="auto"/>
              <w:right w:val="single" w:sz="4" w:space="0" w:color="auto"/>
            </w:tcBorders>
            <w:shd w:val="clear" w:color="auto" w:fill="auto"/>
            <w:vAlign w:val="center"/>
            <w:hideMark/>
          </w:tcPr>
          <w:p w14:paraId="232D975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risk management for businesses.</w:t>
            </w:r>
          </w:p>
        </w:tc>
        <w:tc>
          <w:tcPr>
            <w:tcW w:w="2368" w:type="dxa"/>
            <w:vMerge w:val="restart"/>
            <w:tcBorders>
              <w:top w:val="nil"/>
              <w:left w:val="single" w:sz="4" w:space="0" w:color="auto"/>
              <w:bottom w:val="single" w:sz="8" w:space="0" w:color="000000"/>
              <w:right w:val="single" w:sz="8" w:space="0" w:color="auto"/>
            </w:tcBorders>
            <w:shd w:val="clear" w:color="auto" w:fill="auto"/>
            <w:vAlign w:val="center"/>
            <w:hideMark/>
          </w:tcPr>
          <w:p w14:paraId="2714562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Mobilizes private sector contributions to adaptation.</w:t>
            </w:r>
          </w:p>
        </w:tc>
      </w:tr>
      <w:tr w:rsidR="00B96700" w:rsidRPr="00AC0422" w14:paraId="1EE23A17" w14:textId="77777777" w:rsidTr="00391BF1">
        <w:trPr>
          <w:trHeight w:val="258"/>
        </w:trPr>
        <w:tc>
          <w:tcPr>
            <w:tcW w:w="2967" w:type="dxa"/>
            <w:vMerge/>
            <w:tcBorders>
              <w:top w:val="nil"/>
              <w:left w:val="single" w:sz="8" w:space="0" w:color="auto"/>
              <w:bottom w:val="single" w:sz="8" w:space="0" w:color="000000"/>
              <w:right w:val="single" w:sz="4" w:space="0" w:color="auto"/>
            </w:tcBorders>
            <w:vAlign w:val="center"/>
            <w:hideMark/>
          </w:tcPr>
          <w:p w14:paraId="33F8DAFA" w14:textId="77777777" w:rsidR="00B96700" w:rsidRPr="00AC0422" w:rsidRDefault="00B96700" w:rsidP="00391BF1">
            <w:pPr>
              <w:rPr>
                <w:rFonts w:asciiTheme="minorHAnsi" w:hAnsiTheme="minorHAnsi" w:cstheme="minorHAnsi"/>
                <w:b/>
                <w:bCs/>
                <w:color w:val="000000"/>
                <w:szCs w:val="20"/>
              </w:rPr>
            </w:pPr>
          </w:p>
        </w:tc>
        <w:tc>
          <w:tcPr>
            <w:tcW w:w="4605" w:type="dxa"/>
            <w:tcBorders>
              <w:top w:val="nil"/>
              <w:left w:val="nil"/>
              <w:bottom w:val="single" w:sz="4" w:space="0" w:color="auto"/>
              <w:right w:val="single" w:sz="4" w:space="0" w:color="auto"/>
            </w:tcBorders>
            <w:shd w:val="clear" w:color="auto" w:fill="auto"/>
            <w:vAlign w:val="center"/>
            <w:hideMark/>
          </w:tcPr>
          <w:p w14:paraId="6CF56E6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Investment opportunities in climate resilience.</w:t>
            </w:r>
          </w:p>
        </w:tc>
        <w:tc>
          <w:tcPr>
            <w:tcW w:w="2368" w:type="dxa"/>
            <w:vMerge/>
            <w:tcBorders>
              <w:top w:val="nil"/>
              <w:left w:val="single" w:sz="4" w:space="0" w:color="auto"/>
              <w:bottom w:val="single" w:sz="8" w:space="0" w:color="000000"/>
              <w:right w:val="single" w:sz="8" w:space="0" w:color="auto"/>
            </w:tcBorders>
            <w:vAlign w:val="center"/>
            <w:hideMark/>
          </w:tcPr>
          <w:p w14:paraId="1E9A41FD" w14:textId="77777777" w:rsidR="00B96700" w:rsidRPr="00AC0422" w:rsidRDefault="00B96700" w:rsidP="00391BF1">
            <w:pPr>
              <w:rPr>
                <w:rFonts w:asciiTheme="minorHAnsi" w:hAnsiTheme="minorHAnsi" w:cstheme="minorHAnsi"/>
                <w:color w:val="000000"/>
                <w:szCs w:val="20"/>
              </w:rPr>
            </w:pPr>
          </w:p>
        </w:tc>
      </w:tr>
      <w:tr w:rsidR="00B96700" w:rsidRPr="00AC0422" w14:paraId="07E0710D" w14:textId="77777777" w:rsidTr="00391BF1">
        <w:trPr>
          <w:trHeight w:val="271"/>
        </w:trPr>
        <w:tc>
          <w:tcPr>
            <w:tcW w:w="2967" w:type="dxa"/>
            <w:vMerge/>
            <w:tcBorders>
              <w:top w:val="nil"/>
              <w:left w:val="single" w:sz="8" w:space="0" w:color="auto"/>
              <w:bottom w:val="single" w:sz="8" w:space="0" w:color="000000"/>
              <w:right w:val="single" w:sz="4" w:space="0" w:color="auto"/>
            </w:tcBorders>
            <w:vAlign w:val="center"/>
            <w:hideMark/>
          </w:tcPr>
          <w:p w14:paraId="67DB3A27" w14:textId="77777777" w:rsidR="00B96700" w:rsidRPr="00AC0422" w:rsidRDefault="00B96700" w:rsidP="00391BF1">
            <w:pPr>
              <w:rPr>
                <w:rFonts w:asciiTheme="minorHAnsi" w:hAnsiTheme="minorHAnsi" w:cstheme="minorHAnsi"/>
                <w:b/>
                <w:bCs/>
                <w:color w:val="000000"/>
                <w:szCs w:val="20"/>
              </w:rPr>
            </w:pPr>
          </w:p>
        </w:tc>
        <w:tc>
          <w:tcPr>
            <w:tcW w:w="4605" w:type="dxa"/>
            <w:tcBorders>
              <w:top w:val="nil"/>
              <w:left w:val="nil"/>
              <w:bottom w:val="single" w:sz="8" w:space="0" w:color="auto"/>
              <w:right w:val="single" w:sz="4" w:space="0" w:color="auto"/>
            </w:tcBorders>
            <w:shd w:val="clear" w:color="auto" w:fill="auto"/>
            <w:vAlign w:val="center"/>
            <w:hideMark/>
          </w:tcPr>
          <w:p w14:paraId="6052D40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adaptation-focused public-private partnerships.</w:t>
            </w:r>
          </w:p>
        </w:tc>
        <w:tc>
          <w:tcPr>
            <w:tcW w:w="2368" w:type="dxa"/>
            <w:vMerge/>
            <w:tcBorders>
              <w:top w:val="nil"/>
              <w:left w:val="single" w:sz="4" w:space="0" w:color="auto"/>
              <w:bottom w:val="single" w:sz="8" w:space="0" w:color="000000"/>
              <w:right w:val="single" w:sz="8" w:space="0" w:color="auto"/>
            </w:tcBorders>
            <w:vAlign w:val="center"/>
            <w:hideMark/>
          </w:tcPr>
          <w:p w14:paraId="649D76B9" w14:textId="77777777" w:rsidR="00B96700" w:rsidRPr="00AC0422" w:rsidRDefault="00B96700" w:rsidP="00391BF1">
            <w:pPr>
              <w:rPr>
                <w:rFonts w:asciiTheme="minorHAnsi" w:hAnsiTheme="minorHAnsi" w:cstheme="minorHAnsi"/>
                <w:color w:val="000000"/>
                <w:szCs w:val="20"/>
              </w:rPr>
            </w:pPr>
          </w:p>
        </w:tc>
      </w:tr>
    </w:tbl>
    <w:p w14:paraId="485DAB08"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p>
    <w:p w14:paraId="4C772B4C"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p>
    <w:p w14:paraId="12C4D0D6"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10</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Estimated participants per workshop</w:t>
      </w:r>
    </w:p>
    <w:tbl>
      <w:tblPr>
        <w:tblW w:w="9903" w:type="dxa"/>
        <w:tblLook w:val="04A0" w:firstRow="1" w:lastRow="0" w:firstColumn="1" w:lastColumn="0" w:noHBand="0" w:noVBand="1"/>
      </w:tblPr>
      <w:tblGrid>
        <w:gridCol w:w="3386"/>
        <w:gridCol w:w="2387"/>
        <w:gridCol w:w="2522"/>
        <w:gridCol w:w="1608"/>
      </w:tblGrid>
      <w:tr w:rsidR="00B96700" w:rsidRPr="00AC0422" w14:paraId="02BFFCFA" w14:textId="77777777" w:rsidTr="00391BF1">
        <w:trPr>
          <w:trHeight w:val="613"/>
        </w:trPr>
        <w:tc>
          <w:tcPr>
            <w:tcW w:w="3386"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38C6D7F"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 Group</w:t>
            </w:r>
          </w:p>
        </w:tc>
        <w:tc>
          <w:tcPr>
            <w:tcW w:w="2387" w:type="dxa"/>
            <w:tcBorders>
              <w:top w:val="single" w:sz="8" w:space="0" w:color="auto"/>
              <w:left w:val="nil"/>
              <w:bottom w:val="single" w:sz="4" w:space="0" w:color="auto"/>
              <w:right w:val="single" w:sz="4" w:space="0" w:color="auto"/>
            </w:tcBorders>
            <w:shd w:val="clear" w:color="auto" w:fill="auto"/>
            <w:vAlign w:val="center"/>
            <w:hideMark/>
          </w:tcPr>
          <w:p w14:paraId="5D516D1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Participants per Workshop</w:t>
            </w:r>
          </w:p>
        </w:tc>
        <w:tc>
          <w:tcPr>
            <w:tcW w:w="2522" w:type="dxa"/>
            <w:tcBorders>
              <w:top w:val="single" w:sz="8" w:space="0" w:color="auto"/>
              <w:left w:val="nil"/>
              <w:bottom w:val="single" w:sz="4" w:space="0" w:color="auto"/>
              <w:right w:val="single" w:sz="4" w:space="0" w:color="auto"/>
            </w:tcBorders>
            <w:shd w:val="clear" w:color="auto" w:fill="auto"/>
            <w:vAlign w:val="center"/>
            <w:hideMark/>
          </w:tcPr>
          <w:p w14:paraId="17D3D26C"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Gender Target (% Men/Women)</w:t>
            </w:r>
          </w:p>
        </w:tc>
        <w:tc>
          <w:tcPr>
            <w:tcW w:w="1608" w:type="dxa"/>
            <w:tcBorders>
              <w:top w:val="single" w:sz="8" w:space="0" w:color="auto"/>
              <w:left w:val="nil"/>
              <w:bottom w:val="single" w:sz="4" w:space="0" w:color="auto"/>
              <w:right w:val="single" w:sz="8" w:space="0" w:color="auto"/>
            </w:tcBorders>
            <w:shd w:val="clear" w:color="auto" w:fill="auto"/>
            <w:vAlign w:val="center"/>
            <w:hideMark/>
          </w:tcPr>
          <w:p w14:paraId="343C2764"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Total Participants (44 Workshops)</w:t>
            </w:r>
          </w:p>
        </w:tc>
      </w:tr>
      <w:tr w:rsidR="00B96700" w:rsidRPr="00AC0422" w14:paraId="0844F77D" w14:textId="77777777" w:rsidTr="00391BF1">
        <w:trPr>
          <w:trHeight w:val="250"/>
        </w:trPr>
        <w:tc>
          <w:tcPr>
            <w:tcW w:w="3386" w:type="dxa"/>
            <w:tcBorders>
              <w:top w:val="nil"/>
              <w:left w:val="single" w:sz="8" w:space="0" w:color="auto"/>
              <w:bottom w:val="single" w:sz="4" w:space="0" w:color="auto"/>
              <w:right w:val="single" w:sz="4" w:space="0" w:color="auto"/>
            </w:tcBorders>
            <w:shd w:val="clear" w:color="auto" w:fill="auto"/>
            <w:vAlign w:val="center"/>
            <w:hideMark/>
          </w:tcPr>
          <w:p w14:paraId="1A58A78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National Government Officials</w:t>
            </w:r>
          </w:p>
        </w:tc>
        <w:tc>
          <w:tcPr>
            <w:tcW w:w="2387" w:type="dxa"/>
            <w:tcBorders>
              <w:top w:val="nil"/>
              <w:left w:val="nil"/>
              <w:bottom w:val="single" w:sz="4" w:space="0" w:color="auto"/>
              <w:right w:val="single" w:sz="4" w:space="0" w:color="auto"/>
            </w:tcBorders>
            <w:shd w:val="clear" w:color="auto" w:fill="auto"/>
            <w:vAlign w:val="center"/>
            <w:hideMark/>
          </w:tcPr>
          <w:p w14:paraId="56200CC2"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20</w:t>
            </w:r>
          </w:p>
        </w:tc>
        <w:tc>
          <w:tcPr>
            <w:tcW w:w="2522" w:type="dxa"/>
            <w:tcBorders>
              <w:top w:val="nil"/>
              <w:left w:val="nil"/>
              <w:bottom w:val="single" w:sz="4" w:space="0" w:color="auto"/>
              <w:right w:val="single" w:sz="4" w:space="0" w:color="auto"/>
            </w:tcBorders>
            <w:shd w:val="clear" w:color="auto" w:fill="auto"/>
            <w:vAlign w:val="center"/>
            <w:hideMark/>
          </w:tcPr>
          <w:p w14:paraId="2696651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c>
          <w:tcPr>
            <w:tcW w:w="1608" w:type="dxa"/>
            <w:tcBorders>
              <w:top w:val="nil"/>
              <w:left w:val="nil"/>
              <w:bottom w:val="single" w:sz="4" w:space="0" w:color="auto"/>
              <w:right w:val="single" w:sz="8" w:space="0" w:color="auto"/>
            </w:tcBorders>
            <w:shd w:val="clear" w:color="auto" w:fill="auto"/>
            <w:vAlign w:val="center"/>
            <w:hideMark/>
          </w:tcPr>
          <w:p w14:paraId="72B0EB6F"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880</w:t>
            </w:r>
          </w:p>
        </w:tc>
      </w:tr>
      <w:tr w:rsidR="00B96700" w:rsidRPr="00AC0422" w14:paraId="243954E5" w14:textId="77777777" w:rsidTr="00391BF1">
        <w:trPr>
          <w:trHeight w:val="250"/>
        </w:trPr>
        <w:tc>
          <w:tcPr>
            <w:tcW w:w="3386" w:type="dxa"/>
            <w:tcBorders>
              <w:top w:val="nil"/>
              <w:left w:val="single" w:sz="8" w:space="0" w:color="auto"/>
              <w:bottom w:val="single" w:sz="4" w:space="0" w:color="auto"/>
              <w:right w:val="single" w:sz="4" w:space="0" w:color="auto"/>
            </w:tcBorders>
            <w:shd w:val="clear" w:color="auto" w:fill="auto"/>
            <w:vAlign w:val="center"/>
            <w:hideMark/>
          </w:tcPr>
          <w:p w14:paraId="58D73B1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Local Government Representatives</w:t>
            </w:r>
          </w:p>
        </w:tc>
        <w:tc>
          <w:tcPr>
            <w:tcW w:w="2387" w:type="dxa"/>
            <w:tcBorders>
              <w:top w:val="nil"/>
              <w:left w:val="nil"/>
              <w:bottom w:val="single" w:sz="4" w:space="0" w:color="auto"/>
              <w:right w:val="single" w:sz="4" w:space="0" w:color="auto"/>
            </w:tcBorders>
            <w:shd w:val="clear" w:color="auto" w:fill="auto"/>
            <w:vAlign w:val="center"/>
            <w:hideMark/>
          </w:tcPr>
          <w:p w14:paraId="5403DD64"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2522" w:type="dxa"/>
            <w:tcBorders>
              <w:top w:val="nil"/>
              <w:left w:val="nil"/>
              <w:bottom w:val="single" w:sz="4" w:space="0" w:color="auto"/>
              <w:right w:val="single" w:sz="4" w:space="0" w:color="auto"/>
            </w:tcBorders>
            <w:shd w:val="clear" w:color="auto" w:fill="auto"/>
            <w:vAlign w:val="center"/>
            <w:hideMark/>
          </w:tcPr>
          <w:p w14:paraId="335129F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c>
          <w:tcPr>
            <w:tcW w:w="1608" w:type="dxa"/>
            <w:tcBorders>
              <w:top w:val="nil"/>
              <w:left w:val="nil"/>
              <w:bottom w:val="single" w:sz="4" w:space="0" w:color="auto"/>
              <w:right w:val="single" w:sz="8" w:space="0" w:color="auto"/>
            </w:tcBorders>
            <w:shd w:val="clear" w:color="auto" w:fill="auto"/>
            <w:vAlign w:val="center"/>
            <w:hideMark/>
          </w:tcPr>
          <w:p w14:paraId="4BC373AB"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660</w:t>
            </w:r>
          </w:p>
        </w:tc>
      </w:tr>
      <w:tr w:rsidR="00B96700" w:rsidRPr="00AC0422" w14:paraId="498745DC" w14:textId="77777777" w:rsidTr="00391BF1">
        <w:trPr>
          <w:trHeight w:val="250"/>
        </w:trPr>
        <w:tc>
          <w:tcPr>
            <w:tcW w:w="3386" w:type="dxa"/>
            <w:tcBorders>
              <w:top w:val="nil"/>
              <w:left w:val="single" w:sz="8" w:space="0" w:color="auto"/>
              <w:bottom w:val="single" w:sz="4" w:space="0" w:color="auto"/>
              <w:right w:val="single" w:sz="4" w:space="0" w:color="auto"/>
            </w:tcBorders>
            <w:shd w:val="clear" w:color="auto" w:fill="auto"/>
            <w:vAlign w:val="center"/>
            <w:hideMark/>
          </w:tcPr>
          <w:p w14:paraId="467A8CA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Sectoral Ministries &amp; Agencies</w:t>
            </w:r>
          </w:p>
        </w:tc>
        <w:tc>
          <w:tcPr>
            <w:tcW w:w="2387" w:type="dxa"/>
            <w:tcBorders>
              <w:top w:val="nil"/>
              <w:left w:val="nil"/>
              <w:bottom w:val="single" w:sz="4" w:space="0" w:color="auto"/>
              <w:right w:val="single" w:sz="4" w:space="0" w:color="auto"/>
            </w:tcBorders>
            <w:shd w:val="clear" w:color="auto" w:fill="auto"/>
            <w:vAlign w:val="center"/>
            <w:hideMark/>
          </w:tcPr>
          <w:p w14:paraId="667232F0"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2522" w:type="dxa"/>
            <w:tcBorders>
              <w:top w:val="nil"/>
              <w:left w:val="nil"/>
              <w:bottom w:val="single" w:sz="4" w:space="0" w:color="auto"/>
              <w:right w:val="single" w:sz="4" w:space="0" w:color="auto"/>
            </w:tcBorders>
            <w:shd w:val="clear" w:color="auto" w:fill="auto"/>
            <w:vAlign w:val="center"/>
            <w:hideMark/>
          </w:tcPr>
          <w:p w14:paraId="4619065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c>
          <w:tcPr>
            <w:tcW w:w="1608" w:type="dxa"/>
            <w:tcBorders>
              <w:top w:val="nil"/>
              <w:left w:val="nil"/>
              <w:bottom w:val="single" w:sz="4" w:space="0" w:color="auto"/>
              <w:right w:val="single" w:sz="8" w:space="0" w:color="auto"/>
            </w:tcBorders>
            <w:shd w:val="clear" w:color="auto" w:fill="auto"/>
            <w:vAlign w:val="center"/>
            <w:hideMark/>
          </w:tcPr>
          <w:p w14:paraId="491519B0"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660</w:t>
            </w:r>
          </w:p>
        </w:tc>
      </w:tr>
      <w:tr w:rsidR="00B96700" w:rsidRPr="00AC0422" w14:paraId="3832ED5F" w14:textId="77777777" w:rsidTr="00391BF1">
        <w:trPr>
          <w:trHeight w:val="250"/>
        </w:trPr>
        <w:tc>
          <w:tcPr>
            <w:tcW w:w="3386" w:type="dxa"/>
            <w:tcBorders>
              <w:top w:val="nil"/>
              <w:left w:val="single" w:sz="8" w:space="0" w:color="auto"/>
              <w:bottom w:val="single" w:sz="4" w:space="0" w:color="auto"/>
              <w:right w:val="single" w:sz="4" w:space="0" w:color="auto"/>
            </w:tcBorders>
            <w:shd w:val="clear" w:color="auto" w:fill="auto"/>
            <w:vAlign w:val="center"/>
            <w:hideMark/>
          </w:tcPr>
          <w:p w14:paraId="658FE95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Civil Society &amp; NGOs</w:t>
            </w:r>
          </w:p>
        </w:tc>
        <w:tc>
          <w:tcPr>
            <w:tcW w:w="2387" w:type="dxa"/>
            <w:tcBorders>
              <w:top w:val="nil"/>
              <w:left w:val="nil"/>
              <w:bottom w:val="single" w:sz="4" w:space="0" w:color="auto"/>
              <w:right w:val="single" w:sz="4" w:space="0" w:color="auto"/>
            </w:tcBorders>
            <w:shd w:val="clear" w:color="auto" w:fill="auto"/>
            <w:vAlign w:val="center"/>
            <w:hideMark/>
          </w:tcPr>
          <w:p w14:paraId="5CF81921"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2522" w:type="dxa"/>
            <w:tcBorders>
              <w:top w:val="nil"/>
              <w:left w:val="nil"/>
              <w:bottom w:val="single" w:sz="4" w:space="0" w:color="auto"/>
              <w:right w:val="single" w:sz="4" w:space="0" w:color="auto"/>
            </w:tcBorders>
            <w:shd w:val="clear" w:color="auto" w:fill="auto"/>
            <w:vAlign w:val="center"/>
            <w:hideMark/>
          </w:tcPr>
          <w:p w14:paraId="34E8F55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40% Men, 60% Women</w:t>
            </w:r>
          </w:p>
        </w:tc>
        <w:tc>
          <w:tcPr>
            <w:tcW w:w="1608" w:type="dxa"/>
            <w:tcBorders>
              <w:top w:val="nil"/>
              <w:left w:val="nil"/>
              <w:bottom w:val="single" w:sz="4" w:space="0" w:color="auto"/>
              <w:right w:val="single" w:sz="8" w:space="0" w:color="auto"/>
            </w:tcBorders>
            <w:shd w:val="clear" w:color="auto" w:fill="auto"/>
            <w:vAlign w:val="center"/>
            <w:hideMark/>
          </w:tcPr>
          <w:p w14:paraId="68199340"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440</w:t>
            </w:r>
          </w:p>
        </w:tc>
      </w:tr>
      <w:tr w:rsidR="00B96700" w:rsidRPr="00AC0422" w14:paraId="43332B31" w14:textId="77777777" w:rsidTr="00391BF1">
        <w:trPr>
          <w:trHeight w:val="250"/>
        </w:trPr>
        <w:tc>
          <w:tcPr>
            <w:tcW w:w="3386" w:type="dxa"/>
            <w:tcBorders>
              <w:top w:val="nil"/>
              <w:left w:val="single" w:sz="8" w:space="0" w:color="auto"/>
              <w:bottom w:val="single" w:sz="4" w:space="0" w:color="auto"/>
              <w:right w:val="single" w:sz="4" w:space="0" w:color="auto"/>
            </w:tcBorders>
            <w:shd w:val="clear" w:color="auto" w:fill="auto"/>
            <w:vAlign w:val="center"/>
            <w:hideMark/>
          </w:tcPr>
          <w:p w14:paraId="14C9174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Academia &amp; Research Institutions</w:t>
            </w:r>
          </w:p>
        </w:tc>
        <w:tc>
          <w:tcPr>
            <w:tcW w:w="2387" w:type="dxa"/>
            <w:tcBorders>
              <w:top w:val="nil"/>
              <w:left w:val="nil"/>
              <w:bottom w:val="single" w:sz="4" w:space="0" w:color="auto"/>
              <w:right w:val="single" w:sz="4" w:space="0" w:color="auto"/>
            </w:tcBorders>
            <w:shd w:val="clear" w:color="auto" w:fill="auto"/>
            <w:vAlign w:val="center"/>
            <w:hideMark/>
          </w:tcPr>
          <w:p w14:paraId="018FAAE3"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2522" w:type="dxa"/>
            <w:tcBorders>
              <w:top w:val="nil"/>
              <w:left w:val="nil"/>
              <w:bottom w:val="single" w:sz="4" w:space="0" w:color="auto"/>
              <w:right w:val="single" w:sz="4" w:space="0" w:color="auto"/>
            </w:tcBorders>
            <w:shd w:val="clear" w:color="auto" w:fill="auto"/>
            <w:vAlign w:val="center"/>
            <w:hideMark/>
          </w:tcPr>
          <w:p w14:paraId="7F9B65A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c>
          <w:tcPr>
            <w:tcW w:w="1608" w:type="dxa"/>
            <w:tcBorders>
              <w:top w:val="nil"/>
              <w:left w:val="nil"/>
              <w:bottom w:val="single" w:sz="4" w:space="0" w:color="auto"/>
              <w:right w:val="single" w:sz="8" w:space="0" w:color="auto"/>
            </w:tcBorders>
            <w:shd w:val="clear" w:color="auto" w:fill="auto"/>
            <w:vAlign w:val="center"/>
            <w:hideMark/>
          </w:tcPr>
          <w:p w14:paraId="0796E746"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220</w:t>
            </w:r>
          </w:p>
        </w:tc>
      </w:tr>
      <w:tr w:rsidR="00B96700" w:rsidRPr="00AC0422" w14:paraId="2D587BB4" w14:textId="77777777" w:rsidTr="00391BF1">
        <w:trPr>
          <w:trHeight w:val="250"/>
        </w:trPr>
        <w:tc>
          <w:tcPr>
            <w:tcW w:w="3386" w:type="dxa"/>
            <w:tcBorders>
              <w:top w:val="nil"/>
              <w:left w:val="single" w:sz="8" w:space="0" w:color="auto"/>
              <w:bottom w:val="single" w:sz="4" w:space="0" w:color="auto"/>
              <w:right w:val="single" w:sz="4" w:space="0" w:color="auto"/>
            </w:tcBorders>
            <w:shd w:val="clear" w:color="auto" w:fill="auto"/>
            <w:vAlign w:val="center"/>
            <w:hideMark/>
          </w:tcPr>
          <w:p w14:paraId="1D0CCA9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Private Sector Representatives</w:t>
            </w:r>
          </w:p>
        </w:tc>
        <w:tc>
          <w:tcPr>
            <w:tcW w:w="2387" w:type="dxa"/>
            <w:tcBorders>
              <w:top w:val="nil"/>
              <w:left w:val="nil"/>
              <w:bottom w:val="single" w:sz="4" w:space="0" w:color="auto"/>
              <w:right w:val="single" w:sz="4" w:space="0" w:color="auto"/>
            </w:tcBorders>
            <w:shd w:val="clear" w:color="auto" w:fill="auto"/>
            <w:vAlign w:val="center"/>
            <w:hideMark/>
          </w:tcPr>
          <w:p w14:paraId="0EC41FBB"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2522" w:type="dxa"/>
            <w:tcBorders>
              <w:top w:val="nil"/>
              <w:left w:val="nil"/>
              <w:bottom w:val="single" w:sz="4" w:space="0" w:color="auto"/>
              <w:right w:val="single" w:sz="4" w:space="0" w:color="auto"/>
            </w:tcBorders>
            <w:shd w:val="clear" w:color="auto" w:fill="auto"/>
            <w:vAlign w:val="center"/>
            <w:hideMark/>
          </w:tcPr>
          <w:p w14:paraId="1501F08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c>
          <w:tcPr>
            <w:tcW w:w="1608" w:type="dxa"/>
            <w:tcBorders>
              <w:top w:val="nil"/>
              <w:left w:val="nil"/>
              <w:bottom w:val="single" w:sz="4" w:space="0" w:color="auto"/>
              <w:right w:val="single" w:sz="8" w:space="0" w:color="auto"/>
            </w:tcBorders>
            <w:shd w:val="clear" w:color="auto" w:fill="auto"/>
            <w:vAlign w:val="center"/>
            <w:hideMark/>
          </w:tcPr>
          <w:p w14:paraId="06740E62"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220</w:t>
            </w:r>
          </w:p>
        </w:tc>
      </w:tr>
      <w:tr w:rsidR="00B96700" w:rsidRPr="00AC0422" w14:paraId="16C1E240" w14:textId="77777777" w:rsidTr="00391BF1">
        <w:trPr>
          <w:trHeight w:val="250"/>
        </w:trPr>
        <w:tc>
          <w:tcPr>
            <w:tcW w:w="3386" w:type="dxa"/>
            <w:tcBorders>
              <w:top w:val="nil"/>
              <w:left w:val="single" w:sz="8" w:space="0" w:color="auto"/>
              <w:bottom w:val="single" w:sz="4" w:space="0" w:color="auto"/>
              <w:right w:val="single" w:sz="4" w:space="0" w:color="auto"/>
            </w:tcBorders>
            <w:shd w:val="clear" w:color="auto" w:fill="auto"/>
            <w:vAlign w:val="center"/>
            <w:hideMark/>
          </w:tcPr>
          <w:p w14:paraId="368E616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Development Partners &amp; UN Agencies</w:t>
            </w:r>
          </w:p>
        </w:tc>
        <w:tc>
          <w:tcPr>
            <w:tcW w:w="2387" w:type="dxa"/>
            <w:tcBorders>
              <w:top w:val="nil"/>
              <w:left w:val="nil"/>
              <w:bottom w:val="single" w:sz="4" w:space="0" w:color="auto"/>
              <w:right w:val="single" w:sz="4" w:space="0" w:color="auto"/>
            </w:tcBorders>
            <w:shd w:val="clear" w:color="auto" w:fill="auto"/>
            <w:vAlign w:val="center"/>
            <w:hideMark/>
          </w:tcPr>
          <w:p w14:paraId="0F3BDBC1"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2522" w:type="dxa"/>
            <w:tcBorders>
              <w:top w:val="nil"/>
              <w:left w:val="nil"/>
              <w:bottom w:val="single" w:sz="4" w:space="0" w:color="auto"/>
              <w:right w:val="single" w:sz="4" w:space="0" w:color="auto"/>
            </w:tcBorders>
            <w:shd w:val="clear" w:color="auto" w:fill="auto"/>
            <w:vAlign w:val="center"/>
            <w:hideMark/>
          </w:tcPr>
          <w:p w14:paraId="066A301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c>
          <w:tcPr>
            <w:tcW w:w="1608" w:type="dxa"/>
            <w:tcBorders>
              <w:top w:val="nil"/>
              <w:left w:val="nil"/>
              <w:bottom w:val="single" w:sz="4" w:space="0" w:color="auto"/>
              <w:right w:val="single" w:sz="8" w:space="0" w:color="auto"/>
            </w:tcBorders>
            <w:shd w:val="clear" w:color="auto" w:fill="auto"/>
            <w:vAlign w:val="center"/>
            <w:hideMark/>
          </w:tcPr>
          <w:p w14:paraId="32C3A5F1" w14:textId="77777777" w:rsidR="00B96700" w:rsidRPr="00AC0422" w:rsidRDefault="00B96700" w:rsidP="00391BF1">
            <w:pPr>
              <w:jc w:val="right"/>
              <w:rPr>
                <w:rFonts w:asciiTheme="minorHAnsi" w:hAnsiTheme="minorHAnsi" w:cstheme="minorHAnsi"/>
                <w:color w:val="000000"/>
                <w:szCs w:val="20"/>
              </w:rPr>
            </w:pPr>
            <w:r w:rsidRPr="00AC0422">
              <w:rPr>
                <w:rFonts w:asciiTheme="minorHAnsi" w:hAnsiTheme="minorHAnsi" w:cstheme="minorHAnsi"/>
                <w:color w:val="000000"/>
                <w:szCs w:val="20"/>
              </w:rPr>
              <w:t>220</w:t>
            </w:r>
          </w:p>
        </w:tc>
      </w:tr>
      <w:tr w:rsidR="00B96700" w:rsidRPr="00AC0422" w14:paraId="7CC01B53" w14:textId="77777777" w:rsidTr="00391BF1">
        <w:trPr>
          <w:trHeight w:val="263"/>
        </w:trPr>
        <w:tc>
          <w:tcPr>
            <w:tcW w:w="3386" w:type="dxa"/>
            <w:tcBorders>
              <w:top w:val="nil"/>
              <w:left w:val="single" w:sz="8" w:space="0" w:color="auto"/>
              <w:bottom w:val="single" w:sz="8" w:space="0" w:color="auto"/>
              <w:right w:val="single" w:sz="4" w:space="0" w:color="auto"/>
            </w:tcBorders>
            <w:shd w:val="clear" w:color="auto" w:fill="auto"/>
            <w:vAlign w:val="center"/>
            <w:hideMark/>
          </w:tcPr>
          <w:p w14:paraId="2711609B"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Total Participants Per Workshop</w:t>
            </w:r>
          </w:p>
        </w:tc>
        <w:tc>
          <w:tcPr>
            <w:tcW w:w="2387" w:type="dxa"/>
            <w:tcBorders>
              <w:top w:val="nil"/>
              <w:left w:val="nil"/>
              <w:bottom w:val="single" w:sz="8" w:space="0" w:color="auto"/>
              <w:right w:val="single" w:sz="4" w:space="0" w:color="auto"/>
            </w:tcBorders>
            <w:shd w:val="clear" w:color="auto" w:fill="auto"/>
            <w:vAlign w:val="center"/>
            <w:hideMark/>
          </w:tcPr>
          <w:p w14:paraId="60B3EC5A" w14:textId="77777777" w:rsidR="00B96700" w:rsidRPr="00AC0422" w:rsidRDefault="00B96700" w:rsidP="00391BF1">
            <w:pPr>
              <w:jc w:val="right"/>
              <w:rPr>
                <w:rFonts w:asciiTheme="minorHAnsi" w:hAnsiTheme="minorHAnsi" w:cstheme="minorHAnsi"/>
                <w:b/>
                <w:bCs/>
                <w:color w:val="000000"/>
                <w:szCs w:val="20"/>
              </w:rPr>
            </w:pPr>
            <w:r w:rsidRPr="00AC0422">
              <w:rPr>
                <w:rFonts w:asciiTheme="minorHAnsi" w:hAnsiTheme="minorHAnsi" w:cstheme="minorHAnsi"/>
                <w:b/>
                <w:bCs/>
                <w:color w:val="000000"/>
                <w:szCs w:val="20"/>
              </w:rPr>
              <w:t>75</w:t>
            </w:r>
          </w:p>
        </w:tc>
        <w:tc>
          <w:tcPr>
            <w:tcW w:w="2522" w:type="dxa"/>
            <w:tcBorders>
              <w:top w:val="nil"/>
              <w:left w:val="nil"/>
              <w:bottom w:val="single" w:sz="8" w:space="0" w:color="auto"/>
              <w:right w:val="single" w:sz="4" w:space="0" w:color="auto"/>
            </w:tcBorders>
            <w:shd w:val="clear" w:color="auto" w:fill="auto"/>
            <w:vAlign w:val="center"/>
            <w:hideMark/>
          </w:tcPr>
          <w:p w14:paraId="717F34EC"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50-55% Men, 45-50% Women</w:t>
            </w:r>
          </w:p>
        </w:tc>
        <w:tc>
          <w:tcPr>
            <w:tcW w:w="1608" w:type="dxa"/>
            <w:tcBorders>
              <w:top w:val="nil"/>
              <w:left w:val="nil"/>
              <w:bottom w:val="single" w:sz="8" w:space="0" w:color="auto"/>
              <w:right w:val="single" w:sz="8" w:space="0" w:color="auto"/>
            </w:tcBorders>
            <w:shd w:val="clear" w:color="auto" w:fill="auto"/>
            <w:vAlign w:val="center"/>
            <w:hideMark/>
          </w:tcPr>
          <w:p w14:paraId="381E4815" w14:textId="77777777" w:rsidR="00B96700" w:rsidRPr="00AC0422" w:rsidRDefault="00B96700" w:rsidP="00391BF1">
            <w:pPr>
              <w:jc w:val="right"/>
              <w:rPr>
                <w:rFonts w:asciiTheme="minorHAnsi" w:hAnsiTheme="minorHAnsi" w:cstheme="minorHAnsi"/>
                <w:b/>
                <w:bCs/>
                <w:color w:val="000000"/>
                <w:szCs w:val="20"/>
              </w:rPr>
            </w:pPr>
            <w:r w:rsidRPr="00AC0422">
              <w:rPr>
                <w:rFonts w:asciiTheme="minorHAnsi" w:hAnsiTheme="minorHAnsi" w:cstheme="minorHAnsi"/>
                <w:b/>
                <w:bCs/>
                <w:color w:val="000000"/>
                <w:szCs w:val="20"/>
              </w:rPr>
              <w:t>3,300</w:t>
            </w:r>
          </w:p>
        </w:tc>
      </w:tr>
    </w:tbl>
    <w:p w14:paraId="70E54D37" w14:textId="77777777" w:rsidR="00B96700" w:rsidRPr="00AC0422" w:rsidRDefault="00B96700" w:rsidP="00B96700">
      <w:pPr>
        <w:spacing w:after="160" w:line="259" w:lineRule="auto"/>
        <w:rPr>
          <w:rFonts w:asciiTheme="minorHAnsi" w:hAnsiTheme="minorHAnsi" w:cstheme="minorHAnsi"/>
          <w:szCs w:val="20"/>
          <w:lang w:val="en-GB" w:eastAsia="en-GB"/>
        </w:rPr>
      </w:pPr>
    </w:p>
    <w:p w14:paraId="27D01FCF" w14:textId="77777777" w:rsidR="00B96700" w:rsidRPr="00AC0422" w:rsidRDefault="00B96700" w:rsidP="00B96700">
      <w:pPr>
        <w:spacing w:after="160" w:line="259" w:lineRule="auto"/>
        <w:rPr>
          <w:rFonts w:asciiTheme="minorHAnsi" w:hAnsiTheme="minorHAnsi" w:cstheme="minorHAnsi"/>
          <w:szCs w:val="20"/>
        </w:rPr>
      </w:pPr>
      <w:r w:rsidRPr="00AC0422">
        <w:rPr>
          <w:rFonts w:asciiTheme="minorHAnsi" w:hAnsiTheme="minorHAnsi" w:cstheme="minorHAnsi"/>
          <w:szCs w:val="20"/>
          <w:lang w:val="en-GB" w:eastAsia="en-GB"/>
        </w:rPr>
        <w:t xml:space="preserve">Special efforts will be made to increase women’s participation, particularly in leadership and decision-making roles. Marginalized groups and youth participation will be actively encouraged. </w:t>
      </w:r>
      <w:r w:rsidRPr="00AC0422">
        <w:rPr>
          <w:rFonts w:asciiTheme="minorHAnsi" w:hAnsiTheme="minorHAnsi" w:cstheme="minorHAnsi"/>
          <w:szCs w:val="20"/>
        </w:rPr>
        <w:t>Each training workshop will run for two days giving a total of 88 training days.</w:t>
      </w:r>
    </w:p>
    <w:p w14:paraId="7661002B" w14:textId="77777777" w:rsidR="00B96700" w:rsidRPr="00AC0422" w:rsidRDefault="00B96700" w:rsidP="00B96700">
      <w:pPr>
        <w:spacing w:after="160" w:line="259" w:lineRule="auto"/>
        <w:rPr>
          <w:rFonts w:asciiTheme="minorHAnsi" w:hAnsiTheme="minorHAnsi" w:cstheme="minorHAnsi"/>
          <w:szCs w:val="20"/>
          <w:lang w:eastAsia="en-GB"/>
        </w:rPr>
      </w:pPr>
      <w:r w:rsidRPr="00AC0422">
        <w:rPr>
          <w:rFonts w:asciiTheme="minorHAnsi" w:hAnsiTheme="minorHAnsi" w:cstheme="minorHAnsi"/>
          <w:szCs w:val="20"/>
          <w:lang w:eastAsia="en-GB"/>
        </w:rPr>
        <w:t>The workshops will involve national government agencies, technical bodies, CSOs, academia, and private sector representatives.</w:t>
      </w:r>
    </w:p>
    <w:p w14:paraId="025065C4"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11</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Government Ministries and Institutions</w:t>
      </w:r>
    </w:p>
    <w:tbl>
      <w:tblPr>
        <w:tblW w:w="9879" w:type="dxa"/>
        <w:tblLook w:val="04A0" w:firstRow="1" w:lastRow="0" w:firstColumn="1" w:lastColumn="0" w:noHBand="0" w:noVBand="1"/>
      </w:tblPr>
      <w:tblGrid>
        <w:gridCol w:w="4249"/>
        <w:gridCol w:w="5630"/>
      </w:tblGrid>
      <w:tr w:rsidR="00B96700" w:rsidRPr="00AC0422" w14:paraId="5C96F314" w14:textId="77777777" w:rsidTr="00391BF1">
        <w:trPr>
          <w:trHeight w:val="277"/>
        </w:trPr>
        <w:tc>
          <w:tcPr>
            <w:tcW w:w="424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15CB225"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Institution</w:t>
            </w:r>
          </w:p>
        </w:tc>
        <w:tc>
          <w:tcPr>
            <w:tcW w:w="5630" w:type="dxa"/>
            <w:tcBorders>
              <w:top w:val="single" w:sz="8" w:space="0" w:color="auto"/>
              <w:left w:val="nil"/>
              <w:bottom w:val="single" w:sz="4" w:space="0" w:color="auto"/>
              <w:right w:val="single" w:sz="8" w:space="0" w:color="auto"/>
            </w:tcBorders>
            <w:shd w:val="clear" w:color="auto" w:fill="auto"/>
            <w:vAlign w:val="center"/>
            <w:hideMark/>
          </w:tcPr>
          <w:p w14:paraId="3C2B1A26"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Role in Training</w:t>
            </w:r>
          </w:p>
        </w:tc>
      </w:tr>
      <w:tr w:rsidR="00B96700" w:rsidRPr="00AC0422" w14:paraId="153FEB3C" w14:textId="77777777" w:rsidTr="00391BF1">
        <w:trPr>
          <w:trHeight w:val="418"/>
        </w:trPr>
        <w:tc>
          <w:tcPr>
            <w:tcW w:w="4249" w:type="dxa"/>
            <w:tcBorders>
              <w:top w:val="nil"/>
              <w:left w:val="single" w:sz="8" w:space="0" w:color="auto"/>
              <w:bottom w:val="single" w:sz="4" w:space="0" w:color="auto"/>
              <w:right w:val="single" w:sz="4" w:space="0" w:color="auto"/>
            </w:tcBorders>
            <w:shd w:val="clear" w:color="auto" w:fill="auto"/>
            <w:vAlign w:val="center"/>
            <w:hideMark/>
          </w:tcPr>
          <w:p w14:paraId="25F826D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Environmental Protection Authority (EPA)</w:t>
            </w:r>
          </w:p>
        </w:tc>
        <w:tc>
          <w:tcPr>
            <w:tcW w:w="5630" w:type="dxa"/>
            <w:tcBorders>
              <w:top w:val="nil"/>
              <w:left w:val="nil"/>
              <w:bottom w:val="single" w:sz="4" w:space="0" w:color="auto"/>
              <w:right w:val="single" w:sz="8" w:space="0" w:color="auto"/>
            </w:tcBorders>
            <w:shd w:val="clear" w:color="auto" w:fill="auto"/>
            <w:vAlign w:val="center"/>
            <w:hideMark/>
          </w:tcPr>
          <w:p w14:paraId="3BF731D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Lead institution for climate policy and adaptation planning.</w:t>
            </w:r>
          </w:p>
        </w:tc>
      </w:tr>
      <w:tr w:rsidR="00B96700" w:rsidRPr="00AC0422" w14:paraId="5CF30794" w14:textId="77777777" w:rsidTr="00391BF1">
        <w:trPr>
          <w:trHeight w:val="423"/>
        </w:trPr>
        <w:tc>
          <w:tcPr>
            <w:tcW w:w="4249" w:type="dxa"/>
            <w:tcBorders>
              <w:top w:val="nil"/>
              <w:left w:val="single" w:sz="8" w:space="0" w:color="auto"/>
              <w:bottom w:val="single" w:sz="4" w:space="0" w:color="auto"/>
              <w:right w:val="single" w:sz="4" w:space="0" w:color="auto"/>
            </w:tcBorders>
            <w:shd w:val="clear" w:color="auto" w:fill="auto"/>
            <w:vAlign w:val="center"/>
            <w:hideMark/>
          </w:tcPr>
          <w:p w14:paraId="5030266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Water and Environment</w:t>
            </w:r>
          </w:p>
        </w:tc>
        <w:tc>
          <w:tcPr>
            <w:tcW w:w="5630" w:type="dxa"/>
            <w:tcBorders>
              <w:top w:val="nil"/>
              <w:left w:val="nil"/>
              <w:bottom w:val="single" w:sz="4" w:space="0" w:color="auto"/>
              <w:right w:val="single" w:sz="8" w:space="0" w:color="auto"/>
            </w:tcBorders>
            <w:shd w:val="clear" w:color="auto" w:fill="auto"/>
            <w:vAlign w:val="center"/>
            <w:hideMark/>
          </w:tcPr>
          <w:p w14:paraId="623D18F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Strengthening water resilience and resource management.</w:t>
            </w:r>
          </w:p>
        </w:tc>
      </w:tr>
      <w:tr w:rsidR="00B96700" w:rsidRPr="00AC0422" w14:paraId="29398736" w14:textId="77777777" w:rsidTr="00391BF1">
        <w:trPr>
          <w:trHeight w:val="443"/>
        </w:trPr>
        <w:tc>
          <w:tcPr>
            <w:tcW w:w="4249" w:type="dxa"/>
            <w:tcBorders>
              <w:top w:val="nil"/>
              <w:left w:val="single" w:sz="8" w:space="0" w:color="auto"/>
              <w:bottom w:val="single" w:sz="4" w:space="0" w:color="auto"/>
              <w:right w:val="single" w:sz="4" w:space="0" w:color="auto"/>
            </w:tcBorders>
            <w:shd w:val="clear" w:color="auto" w:fill="auto"/>
            <w:vAlign w:val="center"/>
            <w:hideMark/>
          </w:tcPr>
          <w:p w14:paraId="7276A8C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Agriculture and Irrigation</w:t>
            </w:r>
          </w:p>
        </w:tc>
        <w:tc>
          <w:tcPr>
            <w:tcW w:w="5630" w:type="dxa"/>
            <w:tcBorders>
              <w:top w:val="nil"/>
              <w:left w:val="nil"/>
              <w:bottom w:val="single" w:sz="4" w:space="0" w:color="auto"/>
              <w:right w:val="single" w:sz="8" w:space="0" w:color="auto"/>
            </w:tcBorders>
            <w:shd w:val="clear" w:color="auto" w:fill="auto"/>
            <w:vAlign w:val="center"/>
            <w:hideMark/>
          </w:tcPr>
          <w:p w14:paraId="4D35EFB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Climate-smart agriculture, food security adaptation strategies.</w:t>
            </w:r>
          </w:p>
        </w:tc>
      </w:tr>
      <w:tr w:rsidR="00B96700" w:rsidRPr="00AC0422" w14:paraId="1F62DECF" w14:textId="77777777" w:rsidTr="00391BF1">
        <w:trPr>
          <w:trHeight w:val="443"/>
        </w:trPr>
        <w:tc>
          <w:tcPr>
            <w:tcW w:w="4249" w:type="dxa"/>
            <w:tcBorders>
              <w:top w:val="nil"/>
              <w:left w:val="single" w:sz="8" w:space="0" w:color="auto"/>
              <w:bottom w:val="single" w:sz="4" w:space="0" w:color="auto"/>
              <w:right w:val="single" w:sz="4" w:space="0" w:color="auto"/>
            </w:tcBorders>
            <w:shd w:val="clear" w:color="auto" w:fill="auto"/>
            <w:vAlign w:val="center"/>
            <w:hideMark/>
          </w:tcPr>
          <w:p w14:paraId="1F04ECA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Health and Population</w:t>
            </w:r>
          </w:p>
        </w:tc>
        <w:tc>
          <w:tcPr>
            <w:tcW w:w="5630" w:type="dxa"/>
            <w:tcBorders>
              <w:top w:val="nil"/>
              <w:left w:val="nil"/>
              <w:bottom w:val="single" w:sz="4" w:space="0" w:color="auto"/>
              <w:right w:val="single" w:sz="8" w:space="0" w:color="auto"/>
            </w:tcBorders>
            <w:shd w:val="clear" w:color="auto" w:fill="auto"/>
            <w:vAlign w:val="center"/>
            <w:hideMark/>
          </w:tcPr>
          <w:p w14:paraId="1AF7617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Public health and climate-sensitive disease adaptation.</w:t>
            </w:r>
          </w:p>
        </w:tc>
      </w:tr>
      <w:tr w:rsidR="00B96700" w:rsidRPr="00AC0422" w14:paraId="5E9C740F" w14:textId="77777777" w:rsidTr="00391BF1">
        <w:trPr>
          <w:trHeight w:val="215"/>
        </w:trPr>
        <w:tc>
          <w:tcPr>
            <w:tcW w:w="4249" w:type="dxa"/>
            <w:tcBorders>
              <w:top w:val="nil"/>
              <w:left w:val="single" w:sz="8" w:space="0" w:color="auto"/>
              <w:bottom w:val="single" w:sz="4" w:space="0" w:color="auto"/>
              <w:right w:val="single" w:sz="4" w:space="0" w:color="auto"/>
            </w:tcBorders>
            <w:shd w:val="clear" w:color="auto" w:fill="auto"/>
            <w:vAlign w:val="center"/>
            <w:hideMark/>
          </w:tcPr>
          <w:p w14:paraId="2F0A771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Civil Aviation and Meteorology Authority (CAMA)</w:t>
            </w:r>
          </w:p>
        </w:tc>
        <w:tc>
          <w:tcPr>
            <w:tcW w:w="5630" w:type="dxa"/>
            <w:tcBorders>
              <w:top w:val="nil"/>
              <w:left w:val="nil"/>
              <w:bottom w:val="single" w:sz="4" w:space="0" w:color="auto"/>
              <w:right w:val="single" w:sz="8" w:space="0" w:color="auto"/>
            </w:tcBorders>
            <w:shd w:val="clear" w:color="auto" w:fill="auto"/>
            <w:vAlign w:val="center"/>
            <w:hideMark/>
          </w:tcPr>
          <w:p w14:paraId="3F87FA5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data monitoring and early warning systems.</w:t>
            </w:r>
          </w:p>
        </w:tc>
      </w:tr>
      <w:tr w:rsidR="00B96700" w:rsidRPr="00AC0422" w14:paraId="004BDAAB" w14:textId="77777777" w:rsidTr="00391BF1">
        <w:trPr>
          <w:trHeight w:val="665"/>
        </w:trPr>
        <w:tc>
          <w:tcPr>
            <w:tcW w:w="4249" w:type="dxa"/>
            <w:tcBorders>
              <w:top w:val="nil"/>
              <w:left w:val="single" w:sz="8" w:space="0" w:color="auto"/>
              <w:bottom w:val="single" w:sz="4" w:space="0" w:color="auto"/>
              <w:right w:val="single" w:sz="4" w:space="0" w:color="auto"/>
            </w:tcBorders>
            <w:shd w:val="clear" w:color="auto" w:fill="auto"/>
            <w:vAlign w:val="center"/>
            <w:hideMark/>
          </w:tcPr>
          <w:p w14:paraId="331D5F1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Planning and International Cooperation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w:t>
            </w:r>
          </w:p>
        </w:tc>
        <w:tc>
          <w:tcPr>
            <w:tcW w:w="5630" w:type="dxa"/>
            <w:tcBorders>
              <w:top w:val="nil"/>
              <w:left w:val="nil"/>
              <w:bottom w:val="single" w:sz="4" w:space="0" w:color="auto"/>
              <w:right w:val="single" w:sz="8" w:space="0" w:color="auto"/>
            </w:tcBorders>
            <w:shd w:val="clear" w:color="auto" w:fill="auto"/>
            <w:vAlign w:val="center"/>
            <w:hideMark/>
          </w:tcPr>
          <w:p w14:paraId="08D5773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Aligning adaptation with national development plans.</w:t>
            </w:r>
          </w:p>
        </w:tc>
      </w:tr>
      <w:tr w:rsidR="00B96700" w:rsidRPr="00AC0422" w14:paraId="26E3F7B5" w14:textId="77777777" w:rsidTr="00391BF1">
        <w:trPr>
          <w:trHeight w:val="413"/>
        </w:trPr>
        <w:tc>
          <w:tcPr>
            <w:tcW w:w="4249" w:type="dxa"/>
            <w:tcBorders>
              <w:top w:val="nil"/>
              <w:left w:val="single" w:sz="8" w:space="0" w:color="auto"/>
              <w:bottom w:val="single" w:sz="8" w:space="0" w:color="auto"/>
              <w:right w:val="single" w:sz="4" w:space="0" w:color="auto"/>
            </w:tcBorders>
            <w:shd w:val="clear" w:color="auto" w:fill="auto"/>
            <w:vAlign w:val="center"/>
            <w:hideMark/>
          </w:tcPr>
          <w:p w14:paraId="7910897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National Disaster Risk Management Unit (DRMU)</w:t>
            </w:r>
          </w:p>
        </w:tc>
        <w:tc>
          <w:tcPr>
            <w:tcW w:w="5630" w:type="dxa"/>
            <w:tcBorders>
              <w:top w:val="nil"/>
              <w:left w:val="nil"/>
              <w:bottom w:val="single" w:sz="8" w:space="0" w:color="auto"/>
              <w:right w:val="single" w:sz="8" w:space="0" w:color="auto"/>
            </w:tcBorders>
            <w:shd w:val="clear" w:color="auto" w:fill="auto"/>
            <w:vAlign w:val="center"/>
            <w:hideMark/>
          </w:tcPr>
          <w:p w14:paraId="0A77898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Linking adaptation to disaster risk reduction (DRR).</w:t>
            </w:r>
          </w:p>
        </w:tc>
      </w:tr>
    </w:tbl>
    <w:p w14:paraId="12A2914E" w14:textId="77777777" w:rsidR="00B96700" w:rsidRPr="00AC0422" w:rsidRDefault="00B96700" w:rsidP="00B96700">
      <w:pPr>
        <w:spacing w:after="160" w:line="259" w:lineRule="auto"/>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Other Stakeholders will include: </w:t>
      </w:r>
    </w:p>
    <w:p w14:paraId="01AD19CF" w14:textId="77777777" w:rsidR="00B96700" w:rsidRPr="00AC0422" w:rsidRDefault="00B96700" w:rsidP="005D2C02">
      <w:pPr>
        <w:numPr>
          <w:ilvl w:val="0"/>
          <w:numId w:val="65"/>
        </w:numPr>
        <w:spacing w:after="0"/>
        <w:ind w:left="714"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Regional and district-level government offices will be trained to decentralize adaptation efforts.</w:t>
      </w:r>
    </w:p>
    <w:p w14:paraId="68C3BDB7" w14:textId="77777777" w:rsidR="00B96700" w:rsidRPr="00AC0422" w:rsidRDefault="00B96700" w:rsidP="005D2C02">
      <w:pPr>
        <w:numPr>
          <w:ilvl w:val="0"/>
          <w:numId w:val="66"/>
        </w:numPr>
        <w:spacing w:after="0"/>
        <w:ind w:left="714"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Yemen Women’s Union &amp; Gender-Based CSOs: Ensure gender-responsive adaptation.</w:t>
      </w:r>
    </w:p>
    <w:p w14:paraId="3851F312" w14:textId="77777777" w:rsidR="00B96700" w:rsidRPr="00AC0422" w:rsidRDefault="00B96700" w:rsidP="005D2C02">
      <w:pPr>
        <w:numPr>
          <w:ilvl w:val="0"/>
          <w:numId w:val="66"/>
        </w:numPr>
        <w:spacing w:after="0"/>
        <w:ind w:left="714"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Community-Based Organizations (CBOs): Local engagement in climate resilience.</w:t>
      </w:r>
    </w:p>
    <w:p w14:paraId="3AE6BF00" w14:textId="77777777" w:rsidR="00B96700" w:rsidRPr="00AC0422" w:rsidRDefault="00B96700" w:rsidP="005D2C02">
      <w:pPr>
        <w:numPr>
          <w:ilvl w:val="0"/>
          <w:numId w:val="66"/>
        </w:numPr>
        <w:spacing w:after="0"/>
        <w:ind w:left="714"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International NGOs (Oxfam, CARE, etc.): Provide expertise and funding support.</w:t>
      </w:r>
    </w:p>
    <w:p w14:paraId="413A2516" w14:textId="77777777" w:rsidR="00B96700" w:rsidRPr="00AC0422" w:rsidRDefault="00B96700" w:rsidP="005D2C02">
      <w:pPr>
        <w:numPr>
          <w:ilvl w:val="0"/>
          <w:numId w:val="67"/>
        </w:numPr>
        <w:spacing w:after="0"/>
        <w:ind w:left="714"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Universities and Climate Research </w:t>
      </w:r>
      <w:proofErr w:type="spellStart"/>
      <w:r w:rsidRPr="00AC0422">
        <w:rPr>
          <w:rFonts w:asciiTheme="minorHAnsi" w:hAnsiTheme="minorHAnsi" w:cstheme="minorHAnsi"/>
          <w:szCs w:val="20"/>
          <w:lang w:val="en-GB" w:eastAsia="en-GB"/>
        </w:rPr>
        <w:t>Centers</w:t>
      </w:r>
      <w:proofErr w:type="spellEnd"/>
      <w:r w:rsidRPr="00AC0422">
        <w:rPr>
          <w:rFonts w:asciiTheme="minorHAnsi" w:hAnsiTheme="minorHAnsi" w:cstheme="minorHAnsi"/>
          <w:szCs w:val="20"/>
          <w:lang w:val="en-GB" w:eastAsia="en-GB"/>
        </w:rPr>
        <w:t>: Contribute climate data and knowledge-sharing.</w:t>
      </w:r>
    </w:p>
    <w:p w14:paraId="6EAD9EC5" w14:textId="77777777" w:rsidR="00B96700" w:rsidRPr="00AC0422" w:rsidRDefault="00B96700" w:rsidP="005D2C02">
      <w:pPr>
        <w:numPr>
          <w:ilvl w:val="0"/>
          <w:numId w:val="68"/>
        </w:numPr>
        <w:spacing w:after="0"/>
        <w:ind w:left="714"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Chambers of Commerce, Business Associations: Mobilizing climate finance and innovation.</w:t>
      </w:r>
    </w:p>
    <w:p w14:paraId="15B0ED58" w14:textId="77777777" w:rsidR="00B96700" w:rsidRPr="00AC0422" w:rsidRDefault="00B96700" w:rsidP="005D2C02">
      <w:pPr>
        <w:numPr>
          <w:ilvl w:val="0"/>
          <w:numId w:val="69"/>
        </w:numPr>
        <w:spacing w:after="0"/>
        <w:ind w:left="714"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UNDP, FAO, UN-HABITAT, UNEP, GCF, GEF, WFP, WHO: Provide international best practices and funding support.</w:t>
      </w:r>
    </w:p>
    <w:p w14:paraId="3F8E1386" w14:textId="77777777" w:rsidR="00B96700" w:rsidRPr="00AC0422" w:rsidRDefault="00B96700" w:rsidP="00B96700">
      <w:pPr>
        <w:ind w:left="714"/>
        <w:rPr>
          <w:rFonts w:asciiTheme="minorHAnsi" w:hAnsiTheme="minorHAnsi" w:cstheme="minorHAnsi"/>
          <w:szCs w:val="20"/>
          <w:lang w:val="en-GB" w:eastAsia="en-GB"/>
        </w:rPr>
      </w:pPr>
    </w:p>
    <w:bookmarkEnd w:id="21"/>
    <w:p w14:paraId="488FCB41"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Through 44 tailored training workshops, this activity will build long-term institutional capacity for adaptation planning, financing, and governance. These workshops will also address the training objectives outlined under outputs 3.1.1 and 3.1.3, ensuring sectoral integration, inclusive participation, and hands-on learning. By equipping Yemen’s institutions with the technical expertise needed to lead adaptation efforts, they will be empowered to drive the NAP process forward effectively.</w:t>
      </w:r>
    </w:p>
    <w:p w14:paraId="4F7552B5"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rPr>
        <w:t>.</w:t>
      </w:r>
      <w:r w:rsidRPr="00AC0422">
        <w:rPr>
          <w:rFonts w:asciiTheme="minorHAnsi" w:hAnsiTheme="minorHAnsi" w:cstheme="minorHAnsi"/>
          <w:i/>
          <w:iCs/>
          <w:szCs w:val="20"/>
          <w:u w:val="single"/>
          <w:lang w:val="en-GB" w:eastAsia="en-GB"/>
        </w:rPr>
        <w:t>Activity 3.1.4.1b: Develop and Implement a Public Awareness-Raising Campaign</w:t>
      </w:r>
    </w:p>
    <w:p w14:paraId="62F2B847"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The objective is to develop awareness-raising materials such as leaflets, brochures, and videos to engage the public, CSOs, and other key stakeholders. Materials will highlight the importance of NAP, and the need to integrate considerations of national, sectoral, and regional development frameworks, plans, and priorities. Materials will be tailored for diverse audiences and ensure cultural sensitivity, while community outreach will focus on collaboration with local leaders, CSOs, and NGOs to distribute and disseminate the information.  </w:t>
      </w:r>
    </w:p>
    <w:p w14:paraId="1494636C"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The Communication Strategy and detailed implementation plan for the NAP process will be developed based on the identification of target audiences, key messages, and channels for raising awareness about the NAP process and will include timelines and resource requirements. </w:t>
      </w:r>
    </w:p>
    <w:p w14:paraId="1BB6E1BB" w14:textId="77777777" w:rsidR="00B96700" w:rsidRPr="00AC0422" w:rsidRDefault="00B96700" w:rsidP="00B96700">
      <w:pPr>
        <w:spacing w:after="120"/>
        <w:ind w:right="-28"/>
        <w:rPr>
          <w:rFonts w:asciiTheme="minorHAnsi" w:hAnsiTheme="minorHAnsi" w:cstheme="minorHAnsi"/>
          <w:i/>
          <w:iCs/>
          <w:szCs w:val="20"/>
          <w:u w:val="single"/>
          <w:lang w:val="en-GB" w:eastAsia="en-GB"/>
        </w:rPr>
      </w:pPr>
      <w:bookmarkStart w:id="22" w:name="_Hlk189491651"/>
      <w:r w:rsidRPr="00AC0422">
        <w:rPr>
          <w:rFonts w:asciiTheme="minorHAnsi" w:hAnsiTheme="minorHAnsi" w:cstheme="minorHAnsi"/>
          <w:i/>
          <w:iCs/>
          <w:szCs w:val="20"/>
          <w:u w:val="single"/>
          <w:lang w:val="en-GB" w:eastAsia="en-GB"/>
        </w:rPr>
        <w:t>Activity 3.1.4.1c: Annual Awareness-Raising Fora on Climate Change, Adaptation, and the NAP Process</w:t>
      </w:r>
    </w:p>
    <w:p w14:paraId="51FE7EF3" w14:textId="77777777" w:rsidR="00B96700" w:rsidRPr="00AC0422" w:rsidRDefault="00B96700" w:rsidP="00B96700">
      <w:pPr>
        <w:tabs>
          <w:tab w:val="num" w:pos="720"/>
          <w:tab w:val="num" w:pos="1440"/>
        </w:tabs>
        <w:spacing w:after="120"/>
        <w:ind w:right="-28"/>
        <w:rPr>
          <w:rFonts w:asciiTheme="minorHAnsi" w:eastAsia="Calibri" w:hAnsiTheme="minorHAnsi" w:cstheme="minorHAnsi"/>
          <w:szCs w:val="20"/>
          <w:lang w:val="en-GB"/>
        </w:rPr>
      </w:pPr>
      <w:r w:rsidRPr="00AC0422">
        <w:rPr>
          <w:rFonts w:asciiTheme="minorHAnsi" w:hAnsiTheme="minorHAnsi" w:cstheme="minorHAnsi"/>
          <w:szCs w:val="20"/>
          <w:lang w:val="en-GB" w:eastAsia="en-GB"/>
        </w:rPr>
        <w:t xml:space="preserve">Under this activity annual awareness-raising fora on CCA and NAP process will be organised, to enhance awareness. </w:t>
      </w:r>
      <w:r w:rsidRPr="00AC0422">
        <w:rPr>
          <w:rFonts w:asciiTheme="minorHAnsi" w:eastAsia="Calibri" w:hAnsiTheme="minorHAnsi" w:cstheme="minorHAnsi"/>
          <w:szCs w:val="20"/>
          <w:lang w:val="en-GB"/>
        </w:rPr>
        <w:t xml:space="preserve">The forums will feature expert speakers and interactive sessions, focusing on climate impacts, adaptation strategies, and regional needs through documentation and dissemination through digital platforms. </w:t>
      </w:r>
    </w:p>
    <w:p w14:paraId="2B591D13" w14:textId="77777777" w:rsidR="00B96700" w:rsidRPr="00AC0422" w:rsidRDefault="00B96700" w:rsidP="00B96700">
      <w:pPr>
        <w:pStyle w:val="NormalWeb"/>
        <w:rPr>
          <w:rFonts w:asciiTheme="minorHAnsi" w:eastAsia="Calibri" w:hAnsiTheme="minorHAnsi" w:cstheme="minorHAnsi"/>
          <w:sz w:val="20"/>
          <w:szCs w:val="20"/>
        </w:rPr>
      </w:pPr>
      <w:r w:rsidRPr="00AC0422">
        <w:rPr>
          <w:rFonts w:asciiTheme="minorHAnsi" w:eastAsia="Calibri" w:hAnsiTheme="minorHAnsi" w:cstheme="minorHAnsi"/>
          <w:sz w:val="20"/>
          <w:szCs w:val="20"/>
        </w:rPr>
        <w:t>The primary objective of this activity is to enhance awareness of CCA and the NAP process in Yemen. Annual fora will serve as platforms for knowledge-sharing, stakeholder engagement, and dialogue, ensuring climate adaptation efforts are well understood and supported. They will increase awareness of climate risks among policymakers, civil society, and the private sector, helping integrate climate considerations into decision-making.</w:t>
      </w:r>
    </w:p>
    <w:p w14:paraId="14BD31DB" w14:textId="77777777" w:rsidR="00B96700" w:rsidRPr="00AC0422" w:rsidRDefault="00B96700" w:rsidP="00B96700">
      <w:pPr>
        <w:pStyle w:val="NormalWeb"/>
        <w:rPr>
          <w:rFonts w:asciiTheme="minorHAnsi" w:eastAsia="Calibri" w:hAnsiTheme="minorHAnsi" w:cstheme="minorHAnsi"/>
          <w:sz w:val="20"/>
          <w:szCs w:val="20"/>
        </w:rPr>
      </w:pPr>
      <w:r w:rsidRPr="00AC0422">
        <w:rPr>
          <w:rFonts w:asciiTheme="minorHAnsi" w:eastAsia="Calibri" w:hAnsiTheme="minorHAnsi" w:cstheme="minorHAnsi"/>
          <w:sz w:val="20"/>
          <w:szCs w:val="20"/>
        </w:rPr>
        <w:t>These events will provide updates on Yemen’s NAP process, highlight adaptation priorities in key sectors (water, agriculture, coastal zones, and health), and facilitate discussions on adaptation financing and resilience-building. They will promote transparency, collaboration among government agencies and communities, and institutional readiness for adaptation planning and implementation.</w:t>
      </w:r>
    </w:p>
    <w:p w14:paraId="392E4AC4" w14:textId="77777777" w:rsidR="00B96700" w:rsidRPr="00AC0422" w:rsidRDefault="00B96700" w:rsidP="00B96700">
      <w:pPr>
        <w:pStyle w:val="NormalWeb"/>
        <w:rPr>
          <w:rFonts w:asciiTheme="minorHAnsi" w:eastAsia="Calibri" w:hAnsiTheme="minorHAnsi" w:cstheme="minorHAnsi"/>
          <w:sz w:val="20"/>
          <w:szCs w:val="20"/>
        </w:rPr>
      </w:pPr>
      <w:r w:rsidRPr="00AC0422">
        <w:rPr>
          <w:rFonts w:asciiTheme="minorHAnsi" w:eastAsia="Calibri" w:hAnsiTheme="minorHAnsi" w:cstheme="minorHAnsi"/>
          <w:sz w:val="20"/>
          <w:szCs w:val="20"/>
        </w:rPr>
        <w:t>Key outcomes include stronger institutional and public support, improved dissemination of climate science and policy, and enhanced stakeholder engagement—particularly for underrepresented groups. The fora will also showcase best practices, adaptation innovations, and financing opportunities while fostering capacity development and climate-resilient practices.</w:t>
      </w:r>
    </w:p>
    <w:p w14:paraId="3FF7217C" w14:textId="77777777" w:rsidR="00B96700" w:rsidRPr="00AC0422" w:rsidRDefault="00B96700" w:rsidP="00B96700">
      <w:pPr>
        <w:pStyle w:val="NormalWeb"/>
        <w:rPr>
          <w:rFonts w:asciiTheme="minorHAnsi" w:eastAsia="Calibri" w:hAnsiTheme="minorHAnsi" w:cstheme="minorHAnsi"/>
          <w:sz w:val="20"/>
          <w:szCs w:val="20"/>
        </w:rPr>
      </w:pPr>
      <w:r w:rsidRPr="00AC0422">
        <w:rPr>
          <w:rFonts w:asciiTheme="minorHAnsi" w:eastAsia="Calibri" w:hAnsiTheme="minorHAnsi" w:cstheme="minorHAnsi"/>
          <w:sz w:val="20"/>
          <w:szCs w:val="20"/>
        </w:rPr>
        <w:lastRenderedPageBreak/>
        <w:t>A total of four two-day fora will be held annually over the NAP project’s four-year duration, featuring expert presentations, panel discussions, and interactive sessions to ensure broad participation and regional inclusivity.</w:t>
      </w:r>
    </w:p>
    <w:p w14:paraId="06CC7B8D" w14:textId="77777777" w:rsidR="00B96700" w:rsidRPr="00AC0422" w:rsidRDefault="00B96700" w:rsidP="00B96700">
      <w:pPr>
        <w:pStyle w:val="Caption"/>
        <w:keepNext/>
        <w:rPr>
          <w:rFonts w:asciiTheme="minorHAnsi" w:hAnsiTheme="minorHAnsi" w:cstheme="minorHAnsi"/>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12</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Activity 3.1.4.1c Structure of the fora</w:t>
      </w: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7707"/>
      </w:tblGrid>
      <w:tr w:rsidR="00B96700" w:rsidRPr="00AC0422" w14:paraId="6DDB2969" w14:textId="77777777" w:rsidTr="00391BF1">
        <w:trPr>
          <w:trHeight w:val="337"/>
        </w:trPr>
        <w:tc>
          <w:tcPr>
            <w:tcW w:w="1838" w:type="dxa"/>
            <w:shd w:val="clear" w:color="auto" w:fill="auto"/>
            <w:vAlign w:val="center"/>
            <w:hideMark/>
          </w:tcPr>
          <w:p w14:paraId="6DAC7A1B"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Session Type</w:t>
            </w:r>
          </w:p>
        </w:tc>
        <w:tc>
          <w:tcPr>
            <w:tcW w:w="7707" w:type="dxa"/>
            <w:shd w:val="clear" w:color="auto" w:fill="auto"/>
            <w:vAlign w:val="center"/>
            <w:hideMark/>
          </w:tcPr>
          <w:p w14:paraId="0CD54C42"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Description</w:t>
            </w:r>
          </w:p>
        </w:tc>
      </w:tr>
      <w:tr w:rsidR="00B96700" w:rsidRPr="00AC0422" w14:paraId="5A51E1B2" w14:textId="77777777" w:rsidTr="00391BF1">
        <w:trPr>
          <w:trHeight w:val="554"/>
        </w:trPr>
        <w:tc>
          <w:tcPr>
            <w:tcW w:w="1838" w:type="dxa"/>
            <w:shd w:val="clear" w:color="auto" w:fill="auto"/>
            <w:vAlign w:val="center"/>
            <w:hideMark/>
          </w:tcPr>
          <w:p w14:paraId="0BD08C25"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Plenary Sessions</w:t>
            </w:r>
          </w:p>
        </w:tc>
        <w:tc>
          <w:tcPr>
            <w:tcW w:w="7707" w:type="dxa"/>
            <w:shd w:val="clear" w:color="auto" w:fill="auto"/>
            <w:vAlign w:val="center"/>
            <w:hideMark/>
          </w:tcPr>
          <w:p w14:paraId="5A9D299A"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Expert presentations on Yemen’s climate challenges, NAP progress, adaptation policies, and funding opportunities.</w:t>
            </w:r>
          </w:p>
        </w:tc>
      </w:tr>
      <w:tr w:rsidR="00B96700" w:rsidRPr="00AC0422" w14:paraId="3E70B9E0" w14:textId="77777777" w:rsidTr="00391BF1">
        <w:trPr>
          <w:trHeight w:val="548"/>
        </w:trPr>
        <w:tc>
          <w:tcPr>
            <w:tcW w:w="1838" w:type="dxa"/>
            <w:shd w:val="clear" w:color="auto" w:fill="auto"/>
            <w:vAlign w:val="center"/>
            <w:hideMark/>
          </w:tcPr>
          <w:p w14:paraId="124C40F5"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Panel Discussions</w:t>
            </w:r>
          </w:p>
        </w:tc>
        <w:tc>
          <w:tcPr>
            <w:tcW w:w="7707" w:type="dxa"/>
            <w:shd w:val="clear" w:color="auto" w:fill="auto"/>
            <w:vAlign w:val="center"/>
            <w:hideMark/>
          </w:tcPr>
          <w:p w14:paraId="1264C1EF"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Experts, government officials, and civil society representatives debate and discuss sectoral adaptation priorities.</w:t>
            </w:r>
          </w:p>
        </w:tc>
      </w:tr>
      <w:tr w:rsidR="00B96700" w:rsidRPr="00AC0422" w14:paraId="54A24C9C" w14:textId="77777777" w:rsidTr="00391BF1">
        <w:trPr>
          <w:trHeight w:val="570"/>
        </w:trPr>
        <w:tc>
          <w:tcPr>
            <w:tcW w:w="1838" w:type="dxa"/>
            <w:shd w:val="clear" w:color="auto" w:fill="auto"/>
            <w:vAlign w:val="center"/>
            <w:hideMark/>
          </w:tcPr>
          <w:p w14:paraId="0597AE3B"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Breakout Sessions</w:t>
            </w:r>
          </w:p>
        </w:tc>
        <w:tc>
          <w:tcPr>
            <w:tcW w:w="7707" w:type="dxa"/>
            <w:shd w:val="clear" w:color="auto" w:fill="auto"/>
            <w:vAlign w:val="center"/>
            <w:hideMark/>
          </w:tcPr>
          <w:p w14:paraId="2703B778"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Thematic group discussions focused on specific adaptation challenges (e.g., water security, food systems, health adaptation, climate finance, ecosystem resilience, urban adaptation).</w:t>
            </w:r>
          </w:p>
        </w:tc>
      </w:tr>
      <w:tr w:rsidR="00B96700" w:rsidRPr="00AC0422" w14:paraId="23788B6E" w14:textId="77777777" w:rsidTr="00391BF1">
        <w:trPr>
          <w:trHeight w:val="639"/>
        </w:trPr>
        <w:tc>
          <w:tcPr>
            <w:tcW w:w="1838" w:type="dxa"/>
            <w:shd w:val="clear" w:color="auto" w:fill="auto"/>
            <w:vAlign w:val="center"/>
            <w:hideMark/>
          </w:tcPr>
          <w:p w14:paraId="7161EA97"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Interactive Q&amp;A Sessions</w:t>
            </w:r>
          </w:p>
        </w:tc>
        <w:tc>
          <w:tcPr>
            <w:tcW w:w="7707" w:type="dxa"/>
            <w:shd w:val="clear" w:color="auto" w:fill="auto"/>
            <w:vAlign w:val="center"/>
            <w:hideMark/>
          </w:tcPr>
          <w:p w14:paraId="54718E9A"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Participants engage directly with experts and policymakers to seek clarifications and contribute ideas.</w:t>
            </w:r>
          </w:p>
        </w:tc>
      </w:tr>
      <w:tr w:rsidR="00B96700" w:rsidRPr="00AC0422" w14:paraId="098FCB36" w14:textId="77777777" w:rsidTr="00391BF1">
        <w:trPr>
          <w:trHeight w:val="602"/>
        </w:trPr>
        <w:tc>
          <w:tcPr>
            <w:tcW w:w="1838" w:type="dxa"/>
            <w:shd w:val="clear" w:color="auto" w:fill="auto"/>
            <w:vAlign w:val="center"/>
            <w:hideMark/>
          </w:tcPr>
          <w:p w14:paraId="6289BA80"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Regional Adaptation Showcases</w:t>
            </w:r>
          </w:p>
        </w:tc>
        <w:tc>
          <w:tcPr>
            <w:tcW w:w="7707" w:type="dxa"/>
            <w:shd w:val="clear" w:color="auto" w:fill="auto"/>
            <w:vAlign w:val="center"/>
            <w:hideMark/>
          </w:tcPr>
          <w:p w14:paraId="58C49B89"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Presentation of local adaptation initiatives and best practices from Yemen and internationally.</w:t>
            </w:r>
          </w:p>
        </w:tc>
      </w:tr>
      <w:tr w:rsidR="00B96700" w:rsidRPr="00AC0422" w14:paraId="3B5CC6A1" w14:textId="77777777" w:rsidTr="00391BF1">
        <w:trPr>
          <w:trHeight w:val="287"/>
        </w:trPr>
        <w:tc>
          <w:tcPr>
            <w:tcW w:w="1838" w:type="dxa"/>
            <w:shd w:val="clear" w:color="auto" w:fill="auto"/>
            <w:vAlign w:val="center"/>
            <w:hideMark/>
          </w:tcPr>
          <w:p w14:paraId="6C73946E"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Networking and Collaboration Opportunities</w:t>
            </w:r>
          </w:p>
        </w:tc>
        <w:tc>
          <w:tcPr>
            <w:tcW w:w="7707" w:type="dxa"/>
            <w:shd w:val="clear" w:color="auto" w:fill="auto"/>
            <w:vAlign w:val="center"/>
            <w:hideMark/>
          </w:tcPr>
          <w:p w14:paraId="29123A8C"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Participants will have the opportunity to connect, share experiences, and explore partnerships for adaptation projects.</w:t>
            </w:r>
          </w:p>
        </w:tc>
      </w:tr>
    </w:tbl>
    <w:p w14:paraId="713CEA0C" w14:textId="77777777" w:rsidR="00B96700" w:rsidRPr="00AC0422" w:rsidRDefault="00B96700" w:rsidP="00B96700">
      <w:pPr>
        <w:tabs>
          <w:tab w:val="num" w:pos="720"/>
          <w:tab w:val="num" w:pos="1440"/>
        </w:tabs>
        <w:spacing w:after="120"/>
        <w:ind w:right="-28"/>
        <w:rPr>
          <w:rFonts w:asciiTheme="minorHAnsi" w:eastAsia="Calibri" w:hAnsiTheme="minorHAnsi" w:cstheme="minorHAnsi"/>
          <w:szCs w:val="20"/>
        </w:rPr>
      </w:pPr>
    </w:p>
    <w:tbl>
      <w:tblPr>
        <w:tblW w:w="9568" w:type="dxa"/>
        <w:tblLook w:val="04A0" w:firstRow="1" w:lastRow="0" w:firstColumn="1" w:lastColumn="0" w:noHBand="0" w:noVBand="1"/>
      </w:tblPr>
      <w:tblGrid>
        <w:gridCol w:w="1082"/>
        <w:gridCol w:w="8486"/>
      </w:tblGrid>
      <w:tr w:rsidR="00B96700" w:rsidRPr="00AC0422" w14:paraId="5AF979C6" w14:textId="77777777" w:rsidTr="00391BF1">
        <w:trPr>
          <w:trHeight w:val="297"/>
        </w:trPr>
        <w:tc>
          <w:tcPr>
            <w:tcW w:w="1082"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8EBCD36"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Year</w:t>
            </w:r>
          </w:p>
        </w:tc>
        <w:tc>
          <w:tcPr>
            <w:tcW w:w="8486" w:type="dxa"/>
            <w:tcBorders>
              <w:top w:val="single" w:sz="8" w:space="0" w:color="auto"/>
              <w:left w:val="nil"/>
              <w:bottom w:val="single" w:sz="4" w:space="0" w:color="auto"/>
              <w:right w:val="single" w:sz="8" w:space="0" w:color="auto"/>
            </w:tcBorders>
            <w:shd w:val="clear" w:color="auto" w:fill="auto"/>
            <w:vAlign w:val="center"/>
            <w:hideMark/>
          </w:tcPr>
          <w:p w14:paraId="192C7E64"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Key Theme</w:t>
            </w:r>
          </w:p>
        </w:tc>
      </w:tr>
      <w:tr w:rsidR="00B96700" w:rsidRPr="00AC0422" w14:paraId="70AC135E" w14:textId="77777777" w:rsidTr="00391BF1">
        <w:trPr>
          <w:trHeight w:val="297"/>
        </w:trPr>
        <w:tc>
          <w:tcPr>
            <w:tcW w:w="1082"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FC18AA8"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Year 1</w:t>
            </w:r>
          </w:p>
        </w:tc>
        <w:tc>
          <w:tcPr>
            <w:tcW w:w="8486" w:type="dxa"/>
            <w:tcBorders>
              <w:top w:val="single" w:sz="8" w:space="0" w:color="auto"/>
              <w:left w:val="nil"/>
              <w:bottom w:val="single" w:sz="4" w:space="0" w:color="auto"/>
              <w:right w:val="single" w:sz="8" w:space="0" w:color="auto"/>
            </w:tcBorders>
            <w:shd w:val="clear" w:color="auto" w:fill="auto"/>
            <w:vAlign w:val="center"/>
            <w:hideMark/>
          </w:tcPr>
          <w:p w14:paraId="2EF10DD3"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Introduction to the NAP Process, Climate Risks in Yemen, and Adaptation Priorities</w:t>
            </w:r>
          </w:p>
        </w:tc>
      </w:tr>
      <w:tr w:rsidR="00B96700" w:rsidRPr="00AC0422" w14:paraId="1538B18D" w14:textId="77777777" w:rsidTr="00391BF1">
        <w:trPr>
          <w:trHeight w:val="297"/>
        </w:trPr>
        <w:tc>
          <w:tcPr>
            <w:tcW w:w="1082"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46FF470"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Year 2</w:t>
            </w:r>
          </w:p>
        </w:tc>
        <w:tc>
          <w:tcPr>
            <w:tcW w:w="8486" w:type="dxa"/>
            <w:tcBorders>
              <w:top w:val="single" w:sz="8" w:space="0" w:color="auto"/>
              <w:left w:val="nil"/>
              <w:bottom w:val="single" w:sz="4" w:space="0" w:color="auto"/>
              <w:right w:val="single" w:sz="8" w:space="0" w:color="auto"/>
            </w:tcBorders>
            <w:shd w:val="clear" w:color="auto" w:fill="auto"/>
            <w:vAlign w:val="center"/>
            <w:hideMark/>
          </w:tcPr>
          <w:p w14:paraId="260126C2"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Climate Resilience in Water, Agriculture, and Coastal Management</w:t>
            </w:r>
          </w:p>
        </w:tc>
      </w:tr>
      <w:tr w:rsidR="00B96700" w:rsidRPr="00AC0422" w14:paraId="6CBA7F75" w14:textId="77777777" w:rsidTr="00391BF1">
        <w:trPr>
          <w:trHeight w:val="297"/>
        </w:trPr>
        <w:tc>
          <w:tcPr>
            <w:tcW w:w="1082"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B00363B"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Year 3</w:t>
            </w:r>
          </w:p>
        </w:tc>
        <w:tc>
          <w:tcPr>
            <w:tcW w:w="8486" w:type="dxa"/>
            <w:tcBorders>
              <w:top w:val="single" w:sz="8" w:space="0" w:color="auto"/>
              <w:left w:val="nil"/>
              <w:bottom w:val="single" w:sz="4" w:space="0" w:color="auto"/>
              <w:right w:val="single" w:sz="8" w:space="0" w:color="auto"/>
            </w:tcBorders>
            <w:shd w:val="clear" w:color="auto" w:fill="auto"/>
            <w:vAlign w:val="center"/>
            <w:hideMark/>
          </w:tcPr>
          <w:p w14:paraId="122D3E44"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Climate Finance, Adaptation Governance, and Community-Led Adaptation</w:t>
            </w:r>
          </w:p>
        </w:tc>
      </w:tr>
      <w:tr w:rsidR="00B96700" w:rsidRPr="00AC0422" w14:paraId="6D583815" w14:textId="77777777" w:rsidTr="00391BF1">
        <w:trPr>
          <w:trHeight w:val="297"/>
        </w:trPr>
        <w:tc>
          <w:tcPr>
            <w:tcW w:w="1082"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9B893A7"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Year 4</w:t>
            </w:r>
          </w:p>
        </w:tc>
        <w:tc>
          <w:tcPr>
            <w:tcW w:w="8486" w:type="dxa"/>
            <w:tcBorders>
              <w:top w:val="single" w:sz="8" w:space="0" w:color="auto"/>
              <w:left w:val="nil"/>
              <w:bottom w:val="single" w:sz="4" w:space="0" w:color="auto"/>
              <w:right w:val="single" w:sz="8" w:space="0" w:color="auto"/>
            </w:tcBorders>
            <w:shd w:val="clear" w:color="auto" w:fill="auto"/>
            <w:vAlign w:val="center"/>
            <w:hideMark/>
          </w:tcPr>
          <w:p w14:paraId="490559F0"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Monitoring Progress, Lessons Learned, and Strengthening Adaptation for the Future</w:t>
            </w:r>
          </w:p>
        </w:tc>
      </w:tr>
    </w:tbl>
    <w:p w14:paraId="6C6C6D0B" w14:textId="77777777" w:rsidR="00B96700" w:rsidRPr="00AC0422" w:rsidRDefault="00B96700" w:rsidP="00B96700">
      <w:pPr>
        <w:tabs>
          <w:tab w:val="num" w:pos="720"/>
          <w:tab w:val="num" w:pos="1440"/>
        </w:tabs>
        <w:spacing w:after="120"/>
        <w:ind w:right="-28"/>
        <w:rPr>
          <w:rFonts w:asciiTheme="minorHAnsi" w:eastAsia="Calibri" w:hAnsiTheme="minorHAnsi" w:cstheme="minorHAnsi"/>
          <w:szCs w:val="20"/>
          <w:lang w:val="en-GB"/>
        </w:rPr>
      </w:pPr>
    </w:p>
    <w:p w14:paraId="16A04319" w14:textId="77777777" w:rsidR="00B96700" w:rsidRPr="00AC0422" w:rsidRDefault="00B96700" w:rsidP="00B96700">
      <w:pPr>
        <w:tabs>
          <w:tab w:val="num" w:pos="720"/>
          <w:tab w:val="num" w:pos="1440"/>
        </w:tabs>
        <w:spacing w:after="120"/>
        <w:ind w:right="-28"/>
        <w:rPr>
          <w:rFonts w:asciiTheme="minorHAnsi" w:eastAsia="Calibri" w:hAnsiTheme="minorHAnsi" w:cstheme="minorHAnsi"/>
          <w:szCs w:val="20"/>
        </w:rPr>
      </w:pPr>
      <w:r w:rsidRPr="00AC0422">
        <w:rPr>
          <w:rFonts w:asciiTheme="minorHAnsi" w:eastAsia="Calibri" w:hAnsiTheme="minorHAnsi" w:cstheme="minorHAnsi"/>
          <w:szCs w:val="20"/>
        </w:rPr>
        <w:t xml:space="preserve">Each forum will engage approximately 100-150 participants per event (total 480–600 persons), ensuring a broad and inclusive representation of key stakeholders. </w:t>
      </w:r>
    </w:p>
    <w:tbl>
      <w:tblPr>
        <w:tblW w:w="9037" w:type="dxa"/>
        <w:tblLook w:val="04A0" w:firstRow="1" w:lastRow="0" w:firstColumn="1" w:lastColumn="0" w:noHBand="0" w:noVBand="1"/>
      </w:tblPr>
      <w:tblGrid>
        <w:gridCol w:w="3017"/>
        <w:gridCol w:w="1207"/>
        <w:gridCol w:w="4813"/>
      </w:tblGrid>
      <w:tr w:rsidR="00B96700" w:rsidRPr="00AC0422" w14:paraId="366D7BCD"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D3AD28D"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Stakeholder Group</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74AC3519"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Expected Number of Participants (Per Forum)</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0D7E0409"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Relevance to Adaptation Planning</w:t>
            </w:r>
          </w:p>
        </w:tc>
      </w:tr>
      <w:tr w:rsidR="00B96700" w:rsidRPr="00AC0422" w14:paraId="486FBD47"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1333999"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Government Ministries &amp; Agencies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4535590E"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30</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2AA649F3"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Leads in policy development, governance, and sectoral adaptation planning.</w:t>
            </w:r>
          </w:p>
        </w:tc>
      </w:tr>
      <w:tr w:rsidR="00B96700" w:rsidRPr="00AC0422" w14:paraId="28FDBCE5"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1BD2A02"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Local Government Authorities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510140B4"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25</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381C1927"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Key implementers of adaptation strategies at sub-national levels.</w:t>
            </w:r>
          </w:p>
        </w:tc>
      </w:tr>
      <w:tr w:rsidR="00B96700" w:rsidRPr="00AC0422" w14:paraId="45040284"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9445ADC"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Civil Society Organizations (CSOs) &amp; NGOs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3E5E7034"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20</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48036344"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Play a major role in community-based adaptation and awareness raising.</w:t>
            </w:r>
          </w:p>
        </w:tc>
      </w:tr>
      <w:tr w:rsidR="00B96700" w:rsidRPr="00AC0422" w14:paraId="6A436E0C"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45E1617D"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Private Sector Representatives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7265C296"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44E6EDF3"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Business engagement in climate resilience, investment in adaptation technologies.</w:t>
            </w:r>
          </w:p>
        </w:tc>
      </w:tr>
      <w:tr w:rsidR="00B96700" w:rsidRPr="00AC0422" w14:paraId="58888795"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7E1BC58"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Academia &amp; Research Institutions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6A034AB7"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1B564B04"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Provide scientific expertise, vulnerability assessments, and climate modeling insights.</w:t>
            </w:r>
          </w:p>
        </w:tc>
      </w:tr>
      <w:tr w:rsidR="00B96700" w:rsidRPr="00AC0422" w14:paraId="1C6A829A"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8C642A3"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lastRenderedPageBreak/>
              <w:t>Development Partners &amp; International Organizations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38F72315"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7C09BB7C"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Provide funding, technical assistance, and global adaptation best practices.</w:t>
            </w:r>
          </w:p>
        </w:tc>
      </w:tr>
      <w:tr w:rsidR="00B96700" w:rsidRPr="00AC0422" w14:paraId="47F9D508"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D211FD8"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Youth, Women, and Marginalized Community Representatives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3ACF6967"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420B5648"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Ensure equitable adaptation planning and the inclusion of vulnerable groups.</w:t>
            </w:r>
          </w:p>
        </w:tc>
      </w:tr>
      <w:tr w:rsidR="00B96700" w:rsidRPr="00AC0422" w14:paraId="19F1DE0C" w14:textId="77777777" w:rsidTr="00391BF1">
        <w:trPr>
          <w:trHeight w:val="511"/>
        </w:trPr>
        <w:tc>
          <w:tcPr>
            <w:tcW w:w="30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566E7BAE"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Media &amp; Communication Specialists</w:t>
            </w:r>
          </w:p>
        </w:tc>
        <w:tc>
          <w:tcPr>
            <w:tcW w:w="1207" w:type="dxa"/>
            <w:tcBorders>
              <w:top w:val="single" w:sz="8" w:space="0" w:color="auto"/>
              <w:left w:val="nil"/>
              <w:bottom w:val="single" w:sz="4" w:space="0" w:color="auto"/>
              <w:right w:val="single" w:sz="4" w:space="0" w:color="auto"/>
            </w:tcBorders>
            <w:shd w:val="clear" w:color="auto" w:fill="auto"/>
            <w:vAlign w:val="center"/>
            <w:hideMark/>
          </w:tcPr>
          <w:p w14:paraId="678BB200"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4813" w:type="dxa"/>
            <w:tcBorders>
              <w:top w:val="single" w:sz="8" w:space="0" w:color="auto"/>
              <w:left w:val="nil"/>
              <w:bottom w:val="single" w:sz="4" w:space="0" w:color="auto"/>
              <w:right w:val="single" w:sz="8" w:space="0" w:color="auto"/>
            </w:tcBorders>
            <w:shd w:val="clear" w:color="auto" w:fill="auto"/>
            <w:vAlign w:val="center"/>
            <w:hideMark/>
          </w:tcPr>
          <w:p w14:paraId="7538AA80" w14:textId="77777777" w:rsidR="00B96700" w:rsidRPr="00AC0422" w:rsidRDefault="00B96700" w:rsidP="00391BF1">
            <w:pPr>
              <w:tabs>
                <w:tab w:val="num" w:pos="720"/>
                <w:tab w:val="num" w:pos="1440"/>
              </w:tabs>
              <w:spacing w:after="120"/>
              <w:ind w:right="-28"/>
              <w:rPr>
                <w:rFonts w:asciiTheme="minorHAnsi" w:hAnsiTheme="minorHAnsi" w:cstheme="minorHAnsi"/>
                <w:color w:val="000000"/>
                <w:szCs w:val="20"/>
              </w:rPr>
            </w:pPr>
            <w:r w:rsidRPr="00AC0422">
              <w:rPr>
                <w:rFonts w:asciiTheme="minorHAnsi" w:hAnsiTheme="minorHAnsi" w:cstheme="minorHAnsi"/>
                <w:color w:val="000000"/>
                <w:szCs w:val="20"/>
              </w:rPr>
              <w:t>Essential for public awareness, advocacy, and dissemination of adaptation information.</w:t>
            </w:r>
          </w:p>
        </w:tc>
      </w:tr>
    </w:tbl>
    <w:p w14:paraId="6EE03B43"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To extend the fora’s impact, key information will be digitized and widely shared via the NAP Portal, social media, and YouTube, ensuring accessibility for policymakers, researchers, and the public. Policy briefs, reports, newsletters, and infographics will provide actionable insights for government agencies, donors, and communities.</w:t>
      </w:r>
    </w:p>
    <w:p w14:paraId="2B4E6F6E"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These events will enhance understanding of climate risks and adaptation solutions, strengthening collaboration between government, civil society, and the private sector. They will also support adaptation planning and financing by facilitating discussions on funding mechanisms and mobilizing resources.</w:t>
      </w:r>
    </w:p>
    <w:p w14:paraId="7B158CA0"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As a key pillar of the NAP process, the fora will foster broad-based support, policy alignment, and inclusive planning, ensuring Yemen’s long-term climate resilience.</w:t>
      </w:r>
    </w:p>
    <w:bookmarkEnd w:id="22"/>
    <w:p w14:paraId="04C0C2C6"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3.1.4.1d: Conduct Awareness Surveys to Measure the Evolution of Awareness on Climate Change and Adaptation</w:t>
      </w:r>
    </w:p>
    <w:p w14:paraId="71FCE7F0"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project will develop processes for monitoring the awareness campaign’s effectiveness to enable tracking engagement metrics, such as the number of people reached and feedback received, and messaging and strategies adjusted based on monitoring results. Results will be compared across surveys to measure changes in awareness and identify areas where further awareness-raising efforts are needed. Results and findings will be shared with</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stakeholders through reports and presentations and insights used to refine awareness campaigns and training programs.</w:t>
      </w:r>
    </w:p>
    <w:p w14:paraId="0E5AE35E" w14:textId="77777777" w:rsidR="00B96700" w:rsidRPr="00AC0422" w:rsidRDefault="00B96700" w:rsidP="00B96700">
      <w:pPr>
        <w:rPr>
          <w:rFonts w:asciiTheme="minorHAnsi" w:hAnsiTheme="minorHAnsi" w:cstheme="minorHAnsi"/>
          <w:b/>
          <w:szCs w:val="20"/>
          <w:lang w:eastAsia="en-GB"/>
        </w:rPr>
      </w:pPr>
    </w:p>
    <w:p w14:paraId="4FD14651" w14:textId="77777777" w:rsidR="00B96700" w:rsidRPr="00AC0422" w:rsidRDefault="00B96700" w:rsidP="00B96700">
      <w:pPr>
        <w:spacing w:after="160"/>
        <w:rPr>
          <w:rFonts w:asciiTheme="minorHAnsi" w:hAnsiTheme="minorHAnsi" w:cstheme="minorHAnsi"/>
          <w:b/>
          <w:szCs w:val="20"/>
          <w:lang w:eastAsia="en-GB"/>
        </w:rPr>
      </w:pPr>
      <w:r w:rsidRPr="00AC0422">
        <w:rPr>
          <w:rFonts w:asciiTheme="minorHAnsi" w:hAnsiTheme="minorHAnsi" w:cstheme="minorHAnsi"/>
          <w:b/>
          <w:szCs w:val="20"/>
          <w:lang w:eastAsia="en-GB"/>
        </w:rPr>
        <w:t>2) Outcome 3.2: Evidence produced to design adaptation solutions for maximum impact.</w:t>
      </w:r>
    </w:p>
    <w:p w14:paraId="2A8381F8"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The projects Outputs 3.2.1, and 3.2.2 will all contribute to Outcome 3.2 by </w:t>
      </w:r>
      <w:r w:rsidRPr="00AC0422">
        <w:rPr>
          <w:rFonts w:asciiTheme="minorHAnsi" w:hAnsiTheme="minorHAnsi" w:cstheme="minorHAnsi"/>
          <w:b/>
          <w:bCs/>
          <w:szCs w:val="20"/>
          <w:lang w:eastAsia="en-GB"/>
        </w:rPr>
        <w:t xml:space="preserve">addressing Barrier 2: Limited access to climate risk and vulnerability data and technical capacity to integrate CRV data and information, into identification and appraisal of CCA interventions, </w:t>
      </w:r>
      <w:r w:rsidRPr="00AC0422">
        <w:rPr>
          <w:rFonts w:asciiTheme="minorHAnsi" w:hAnsiTheme="minorHAnsi" w:cstheme="minorHAnsi"/>
          <w:b/>
          <w:bCs/>
          <w:iCs/>
          <w:szCs w:val="20"/>
          <w:lang w:eastAsia="ja-JP"/>
        </w:rPr>
        <w:t xml:space="preserve">Barrier 3: </w:t>
      </w:r>
      <w:r w:rsidRPr="00AC0422">
        <w:rPr>
          <w:rFonts w:asciiTheme="minorHAnsi" w:hAnsiTheme="minorHAnsi" w:cstheme="minorHAnsi"/>
          <w:b/>
          <w:bCs/>
          <w:szCs w:val="20"/>
        </w:rPr>
        <w:t>Lack of conflict analysis and an approach to address CCA challenges in crisis contexts</w:t>
      </w:r>
      <w:r w:rsidRPr="00AC0422">
        <w:rPr>
          <w:rFonts w:asciiTheme="minorHAnsi" w:hAnsiTheme="minorHAnsi" w:cstheme="minorHAnsi"/>
          <w:szCs w:val="20"/>
          <w:lang w:eastAsia="en-GB"/>
        </w:rPr>
        <w:t xml:space="preserve"> and </w:t>
      </w:r>
      <w:r w:rsidRPr="00AC0422">
        <w:rPr>
          <w:rFonts w:asciiTheme="minorHAnsi" w:hAnsiTheme="minorHAnsi" w:cstheme="minorHAnsi"/>
          <w:b/>
          <w:bCs/>
          <w:szCs w:val="20"/>
          <w:lang w:eastAsia="en-GB"/>
        </w:rPr>
        <w:t>Barrier 4: Lack of CCA M&amp;E system to monitor and evaluate how well the goals of climate change adaptation policies and priorities are being realized</w:t>
      </w:r>
      <w:r w:rsidRPr="00AC0422">
        <w:rPr>
          <w:rFonts w:asciiTheme="minorHAnsi" w:hAnsiTheme="minorHAnsi" w:cstheme="minorHAnsi"/>
          <w:szCs w:val="20"/>
          <w:lang w:eastAsia="en-GB"/>
        </w:rPr>
        <w:t xml:space="preserve">.  Under Output 3.2.1 a cross-sectoral M&amp;E system for the NAP process will be established, which will include data sharing, awareness raising, e-learning, and online training, as well as capturing lessons learned from the NAP process systematically (Activity 3.2.1.1).  Under Output 3.2.2, </w:t>
      </w:r>
      <w:r w:rsidRPr="00AC0422">
        <w:rPr>
          <w:rFonts w:asciiTheme="minorHAnsi" w:hAnsiTheme="minorHAnsi" w:cstheme="minorHAnsi"/>
          <w:szCs w:val="20"/>
        </w:rPr>
        <w:t>to address Barrier 3, conflict sensitivity assessments will be conducted for key sectors (water, agriculture, coastal zones, and health) to analyze how conflict exacerbates vulnerabilities and impacts climate change adaptation efforts. Additionally, a comprehensive conflict analysis for Yemen's overall NAP will identify systemic challenges and opportunities to integrate conflict-sensitive approaches into national adaptation planning (Activity 3.2.2.1e).</w:t>
      </w:r>
    </w:p>
    <w:p w14:paraId="121DDA31"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Under the project’s </w:t>
      </w:r>
      <w:r w:rsidRPr="00AC0422">
        <w:rPr>
          <w:rFonts w:asciiTheme="minorHAnsi" w:hAnsiTheme="minorHAnsi" w:cstheme="minorHAnsi"/>
          <w:b/>
          <w:bCs/>
          <w:szCs w:val="20"/>
          <w:lang w:eastAsia="en-GB"/>
        </w:rPr>
        <w:t>Output 3.2.2</w:t>
      </w:r>
      <w:r w:rsidRPr="00AC0422">
        <w:rPr>
          <w:rFonts w:asciiTheme="minorHAnsi" w:hAnsiTheme="minorHAnsi" w:cstheme="minorHAnsi"/>
          <w:szCs w:val="20"/>
          <w:lang w:eastAsia="en-GB"/>
        </w:rPr>
        <w:t xml:space="preserve"> capacity building on climate project downscaling and risk and vulnerability assessments will be conducted and comprehensive climate risk and vulnerability assessment undertaken for up to 4 priority sectors (water, agriculture, coastal zones, health) (</w:t>
      </w:r>
      <w:r w:rsidRPr="00AC0422">
        <w:rPr>
          <w:rFonts w:asciiTheme="minorHAnsi" w:hAnsiTheme="minorHAnsi" w:cstheme="minorHAnsi"/>
          <w:b/>
          <w:bCs/>
          <w:szCs w:val="20"/>
          <w:lang w:eastAsia="en-GB"/>
        </w:rPr>
        <w:t>Activity 3.2.2.1</w:t>
      </w:r>
      <w:r w:rsidRPr="00AC0422">
        <w:rPr>
          <w:rFonts w:asciiTheme="minorHAnsi" w:hAnsiTheme="minorHAnsi" w:cstheme="minorHAnsi"/>
          <w:szCs w:val="20"/>
          <w:lang w:eastAsia="en-GB"/>
        </w:rPr>
        <w:t>). Information-sharing platforms, supported by relevant data-sharing mechanisms will be established, to provide access to evidence-based information for adaptation planning (</w:t>
      </w:r>
      <w:r w:rsidRPr="00AC0422">
        <w:rPr>
          <w:rFonts w:asciiTheme="minorHAnsi" w:hAnsiTheme="minorHAnsi" w:cstheme="minorHAnsi"/>
          <w:b/>
          <w:bCs/>
          <w:szCs w:val="20"/>
          <w:lang w:eastAsia="en-GB"/>
        </w:rPr>
        <w:t>Activity 3.2.2.2</w:t>
      </w:r>
      <w:r w:rsidRPr="00AC0422">
        <w:rPr>
          <w:rFonts w:asciiTheme="minorHAnsi" w:hAnsiTheme="minorHAnsi" w:cstheme="minorHAnsi"/>
          <w:szCs w:val="20"/>
          <w:lang w:eastAsia="en-GB"/>
        </w:rPr>
        <w:t xml:space="preserve">).  The fully operational and functioning online NAP portal with a Maintenance Schedule and Support Plan and Communication and Outreach Plan, featuring: </w:t>
      </w:r>
      <w:proofErr w:type="spellStart"/>
      <w:r w:rsidRPr="00AC0422">
        <w:rPr>
          <w:rFonts w:asciiTheme="minorHAnsi" w:hAnsiTheme="minorHAnsi" w:cstheme="minorHAnsi"/>
          <w:szCs w:val="20"/>
          <w:lang w:eastAsia="en-GB"/>
        </w:rPr>
        <w:t>i</w:t>
      </w:r>
      <w:proofErr w:type="spellEnd"/>
      <w:r w:rsidRPr="00AC0422">
        <w:rPr>
          <w:rFonts w:asciiTheme="minorHAnsi" w:hAnsiTheme="minorHAnsi" w:cstheme="minorHAnsi"/>
          <w:szCs w:val="20"/>
          <w:lang w:eastAsia="en-GB"/>
        </w:rPr>
        <w:t xml:space="preserve">) climate data and information repository, ii) climate knowledge-sharing and knowledge management, iii) capacity development, awareness raising, and lessons learned pages/functionality linked to the NAP M&amp;E system;  NAP Portal Launch Event Report.  In implementing Outcome 3.2 the project will have to overcome </w:t>
      </w:r>
      <w:r w:rsidRPr="00AC0422">
        <w:rPr>
          <w:rFonts w:asciiTheme="minorHAnsi" w:hAnsiTheme="minorHAnsi" w:cstheme="minorHAnsi"/>
          <w:b/>
          <w:bCs/>
          <w:szCs w:val="20"/>
          <w:lang w:eastAsia="en-GB"/>
        </w:rPr>
        <w:t xml:space="preserve">Risk 3: Lack of agreement on data sharing </w:t>
      </w:r>
      <w:r w:rsidRPr="00AC0422">
        <w:rPr>
          <w:rFonts w:asciiTheme="minorHAnsi" w:hAnsiTheme="minorHAnsi" w:cstheme="minorHAnsi"/>
          <w:b/>
          <w:bCs/>
          <w:szCs w:val="20"/>
          <w:lang w:eastAsia="en-GB"/>
        </w:rPr>
        <w:lastRenderedPageBreak/>
        <w:t>for development and analysis of climate risks and impacts in targeted sectors,</w:t>
      </w:r>
      <w:r w:rsidRPr="00AC0422">
        <w:rPr>
          <w:rFonts w:asciiTheme="minorHAnsi" w:hAnsiTheme="minorHAnsi" w:cstheme="minorHAnsi"/>
          <w:szCs w:val="20"/>
          <w:lang w:eastAsia="en-GB"/>
        </w:rPr>
        <w:t xml:space="preserve"> and will</w:t>
      </w:r>
      <w:r w:rsidRPr="00AC0422">
        <w:rPr>
          <w:rFonts w:asciiTheme="minorHAnsi" w:hAnsiTheme="minorHAnsi" w:cstheme="minorHAnsi"/>
          <w:b/>
          <w:bCs/>
          <w:szCs w:val="20"/>
          <w:lang w:eastAsia="en-GB"/>
        </w:rPr>
        <w:t xml:space="preserve"> </w:t>
      </w:r>
      <w:r w:rsidRPr="00AC0422">
        <w:rPr>
          <w:rFonts w:asciiTheme="minorHAnsi" w:eastAsia="Calibri" w:hAnsiTheme="minorHAnsi" w:cstheme="minorHAnsi"/>
          <w:szCs w:val="20"/>
        </w:rPr>
        <w:t>put in place the necessary risk mitigation measures throughout implementation</w:t>
      </w:r>
      <w:r w:rsidRPr="00AC0422">
        <w:rPr>
          <w:rFonts w:asciiTheme="minorHAnsi" w:hAnsiTheme="minorHAnsi" w:cstheme="minorHAnsi"/>
          <w:b/>
          <w:bCs/>
          <w:szCs w:val="20"/>
          <w:lang w:eastAsia="en-GB"/>
        </w:rPr>
        <w:t xml:space="preserve">. </w:t>
      </w:r>
    </w:p>
    <w:p w14:paraId="1E484E23" w14:textId="77777777" w:rsidR="00B96700" w:rsidRPr="00AC0422" w:rsidRDefault="00B96700" w:rsidP="00B96700">
      <w:pPr>
        <w:spacing w:after="120"/>
        <w:ind w:right="-28"/>
        <w:rPr>
          <w:rFonts w:asciiTheme="minorHAnsi" w:hAnsiTheme="minorHAnsi" w:cstheme="minorHAnsi"/>
          <w:b/>
          <w:bCs/>
          <w:i/>
          <w:iCs/>
          <w:szCs w:val="20"/>
          <w:lang w:eastAsia="en-GB"/>
        </w:rPr>
      </w:pPr>
    </w:p>
    <w:p w14:paraId="56EA615E" w14:textId="77777777" w:rsidR="00B96700" w:rsidRPr="00AC0422" w:rsidRDefault="00B96700" w:rsidP="00B96700">
      <w:pPr>
        <w:spacing w:after="120"/>
        <w:ind w:right="-28"/>
        <w:rPr>
          <w:rFonts w:asciiTheme="minorHAnsi" w:hAnsiTheme="minorHAnsi" w:cstheme="minorHAnsi"/>
          <w:b/>
          <w:bCs/>
          <w:i/>
          <w:iCs/>
          <w:szCs w:val="20"/>
          <w:lang w:eastAsia="en-GB"/>
        </w:rPr>
      </w:pPr>
      <w:r w:rsidRPr="00AC0422">
        <w:rPr>
          <w:rFonts w:asciiTheme="minorHAnsi" w:hAnsiTheme="minorHAnsi" w:cstheme="minorHAnsi"/>
          <w:b/>
          <w:bCs/>
          <w:i/>
          <w:iCs/>
          <w:szCs w:val="20"/>
          <w:lang w:eastAsia="en-GB"/>
        </w:rPr>
        <w:t>Output 3.2.1: Adaptation impact monitoring, evaluation and learning systems established or strengthened for strategic planning and investment.</w:t>
      </w:r>
    </w:p>
    <w:p w14:paraId="78A62604" w14:textId="77777777" w:rsidR="00B96700" w:rsidRPr="00AC0422" w:rsidRDefault="00B96700" w:rsidP="00B96700">
      <w:pPr>
        <w:rPr>
          <w:rFonts w:asciiTheme="minorHAnsi" w:hAnsiTheme="minorHAnsi" w:cstheme="minorHAnsi"/>
          <w:b/>
          <w:bCs/>
          <w:i/>
          <w:iCs/>
          <w:szCs w:val="20"/>
          <w:lang w:val="en-GB" w:eastAsia="en-GB"/>
        </w:rPr>
      </w:pPr>
      <w:bookmarkStart w:id="23" w:name="_Hlk189556652"/>
      <w:r w:rsidRPr="00AC0422">
        <w:rPr>
          <w:rFonts w:asciiTheme="minorHAnsi" w:hAnsiTheme="minorHAnsi" w:cstheme="minorHAnsi"/>
          <w:b/>
          <w:bCs/>
          <w:i/>
          <w:iCs/>
          <w:szCs w:val="20"/>
          <w:lang w:val="en-GB" w:eastAsia="en-GB"/>
        </w:rPr>
        <w:t>Activity 3.2.1.1:  Develop and implement a cross-sectoral NAP M&amp;E system</w:t>
      </w:r>
    </w:p>
    <w:p w14:paraId="190D639D" w14:textId="77777777" w:rsidR="00B96700" w:rsidRPr="00AC0422" w:rsidRDefault="00B96700" w:rsidP="00B96700">
      <w:pPr>
        <w:rPr>
          <w:rFonts w:asciiTheme="minorHAnsi" w:hAnsiTheme="minorHAnsi" w:cstheme="minorHAnsi"/>
          <w:i/>
          <w:iCs/>
          <w:szCs w:val="20"/>
          <w:u w:val="single"/>
          <w:lang w:val="en-GB" w:eastAsia="en-GB"/>
        </w:rPr>
      </w:pPr>
    </w:p>
    <w:p w14:paraId="31B330C3" w14:textId="77777777" w:rsidR="00B96700" w:rsidRPr="00AC0422" w:rsidRDefault="00B96700" w:rsidP="00B96700">
      <w:pPr>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3.2.1.1a: Develop a Gender- and Climate-Sensitive M&amp;E System for the NAP Process</w:t>
      </w:r>
    </w:p>
    <w:p w14:paraId="581100D2" w14:textId="3D78ED93" w:rsidR="00B96700" w:rsidRPr="00AC0422" w:rsidRDefault="00B96700" w:rsidP="00B96700">
      <w:pPr>
        <w:tabs>
          <w:tab w:val="num" w:pos="720"/>
          <w:tab w:val="num" w:pos="1440"/>
        </w:tabs>
        <w:rPr>
          <w:rFonts w:asciiTheme="minorHAnsi" w:hAnsiTheme="minorHAnsi" w:cstheme="minorHAnsi"/>
          <w:szCs w:val="20"/>
        </w:rPr>
      </w:pPr>
      <w:r w:rsidRPr="00AC0422">
        <w:rPr>
          <w:rFonts w:asciiTheme="minorHAnsi" w:hAnsiTheme="minorHAnsi" w:cstheme="minorHAnsi"/>
          <w:szCs w:val="20"/>
        </w:rPr>
        <w:t xml:space="preserve">The project will create a gender-sensitive, inclusive M&amp;E system for climate adaptation in Yemen, addressing the unique socio-political, economic, and environmental challenges, including conflict and gender disparities. Aligned with international frameworks like the UNFCCC Gender Action Plan, SDGs, and the Sendai Framework, it will include sector-specific indicators to measure adaptation outcomes by gender, age, ethnicity, and other social factors. The system will engage key stakeholders in defining these indicators and be integrated with the NAP Portal. </w:t>
      </w:r>
    </w:p>
    <w:p w14:paraId="442305F5" w14:textId="633EE2A3" w:rsidR="00B96700" w:rsidRPr="00AC0422" w:rsidRDefault="00B96700" w:rsidP="00AC0422">
      <w:pPr>
        <w:tabs>
          <w:tab w:val="num" w:pos="1440"/>
        </w:tabs>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A process and functionality for capturing lessons learned on an ongoing basis will be built into the M&amp;E system and embedded in the NAP Portal. It will include a </w:t>
      </w:r>
      <w:r w:rsidRPr="00AC0422">
        <w:rPr>
          <w:rFonts w:asciiTheme="minorHAnsi" w:hAnsiTheme="minorHAnsi" w:cstheme="minorHAnsi"/>
          <w:b/>
          <w:bCs/>
          <w:i/>
          <w:iCs/>
          <w:szCs w:val="20"/>
          <w:lang w:val="en-GB" w:eastAsia="en-GB"/>
        </w:rPr>
        <w:t>documentation plan</w:t>
      </w:r>
      <w:r w:rsidRPr="00AC0422">
        <w:rPr>
          <w:rFonts w:asciiTheme="minorHAnsi" w:hAnsiTheme="minorHAnsi" w:cstheme="minorHAnsi"/>
          <w:szCs w:val="20"/>
          <w:lang w:val="en-GB" w:eastAsia="en-GB"/>
        </w:rPr>
        <w:t xml:space="preserve">, outlining responsibilities for data collection and reporting on key areas such as stakeholder engagement, challenges, and innovative practices.  The lessons learned functionality will enable comprehensive </w:t>
      </w:r>
      <w:r w:rsidRPr="00AC0422">
        <w:rPr>
          <w:rFonts w:asciiTheme="minorHAnsi" w:hAnsiTheme="minorHAnsi" w:cstheme="minorHAnsi"/>
          <w:b/>
          <w:bCs/>
          <w:i/>
          <w:iCs/>
          <w:szCs w:val="20"/>
          <w:lang w:val="en-GB" w:eastAsia="en-GB"/>
        </w:rPr>
        <w:t>lesson-learned reports</w:t>
      </w:r>
      <w:r w:rsidRPr="00AC0422">
        <w:rPr>
          <w:rFonts w:asciiTheme="minorHAnsi" w:hAnsiTheme="minorHAnsi" w:cstheme="minorHAnsi"/>
          <w:szCs w:val="20"/>
          <w:lang w:val="en-GB" w:eastAsia="en-GB"/>
        </w:rPr>
        <w:t xml:space="preserve"> and summary briefs to be generated periodically, and findings shared through workshops, the NAP Portal, and international climate forums.</w:t>
      </w:r>
    </w:p>
    <w:p w14:paraId="6CCCCC7E" w14:textId="7E8976EE" w:rsidR="00B96700" w:rsidRPr="00AC0422" w:rsidRDefault="00B96700" w:rsidP="00B96700">
      <w:pPr>
        <w:tabs>
          <w:tab w:val="num" w:pos="720"/>
          <w:tab w:val="num" w:pos="1440"/>
        </w:tabs>
        <w:rPr>
          <w:rFonts w:asciiTheme="minorHAnsi" w:hAnsiTheme="minorHAnsi" w:cstheme="minorHAnsi"/>
          <w:szCs w:val="20"/>
        </w:rPr>
      </w:pPr>
      <w:r w:rsidRPr="00AC0422">
        <w:rPr>
          <w:rFonts w:asciiTheme="minorHAnsi" w:hAnsiTheme="minorHAnsi" w:cstheme="minorHAnsi"/>
          <w:szCs w:val="20"/>
        </w:rPr>
        <w:t>Pilots in priority sectors will test the M&amp;E system, with training for government and local actors, ensuring flexibility for evolving goals and data availability.</w:t>
      </w:r>
    </w:p>
    <w:p w14:paraId="07CDE8ED" w14:textId="77777777" w:rsidR="00B96700" w:rsidRPr="00AC0422" w:rsidRDefault="00B96700" w:rsidP="00B96700">
      <w:pPr>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3.2.1.1b: Training on the M&amp;E System</w:t>
      </w:r>
    </w:p>
    <w:p w14:paraId="016D75D6" w14:textId="77777777" w:rsidR="00B96700" w:rsidRPr="00AC0422" w:rsidRDefault="00B96700" w:rsidP="00B96700">
      <w:pPr>
        <w:tabs>
          <w:tab w:val="num" w:pos="720"/>
          <w:tab w:val="num" w:pos="1440"/>
        </w:tabs>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The activity will conduct extensive training to finalize the M&amp;E system, creating tailored manuals and guiding documents for TCCC, COCA, and the ministry staff. The workshop will further support the process, with pre- and post-assessments to measure knowledge improvements. </w:t>
      </w:r>
    </w:p>
    <w:p w14:paraId="5F4E4CE3"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The training workshops will equip government officials, sectoral staff, and stakeholders with the skills to implement and manage Yemen’s gender- and climate-sensitive Monitoring &amp; Evaluation (M&amp;E) system for the NAP process. These workshops will ensure effective tracking of adaptation progress using standardized indicators aligned with national and international frameworks, including the UNFCCC, SDGs, and Sendai Framework.</w:t>
      </w:r>
    </w:p>
    <w:p w14:paraId="59E87881"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A key focus will be integrating gender and social inclusion, ensuring disaggregated data collection to address the needs of vulnerable populations. The training will enhance institutional capacity for data analysis and reporting, supporting evidence-based decision-making and efficient adaptation finance use.</w:t>
      </w:r>
    </w:p>
    <w:p w14:paraId="4663E293" w14:textId="77777777" w:rsidR="00B96700" w:rsidRPr="00AC0422" w:rsidRDefault="00B96700" w:rsidP="00B96700">
      <w:pPr>
        <w:rPr>
          <w:rFonts w:asciiTheme="minorHAnsi" w:hAnsiTheme="minorHAnsi" w:cstheme="minorHAnsi"/>
          <w:szCs w:val="20"/>
          <w:lang w:eastAsia="en-GB"/>
        </w:rPr>
      </w:pPr>
    </w:p>
    <w:p w14:paraId="00F808F5"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13</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Training Modules and Topics</w:t>
      </w:r>
    </w:p>
    <w:tbl>
      <w:tblPr>
        <w:tblW w:w="9650" w:type="dxa"/>
        <w:tblLook w:val="04A0" w:firstRow="1" w:lastRow="0" w:firstColumn="1" w:lastColumn="0" w:noHBand="0" w:noVBand="1"/>
      </w:tblPr>
      <w:tblGrid>
        <w:gridCol w:w="3533"/>
        <w:gridCol w:w="6117"/>
      </w:tblGrid>
      <w:tr w:rsidR="00B96700" w:rsidRPr="00AC0422" w14:paraId="6EF4F461" w14:textId="77777777" w:rsidTr="00391BF1">
        <w:trPr>
          <w:trHeight w:val="288"/>
        </w:trPr>
        <w:tc>
          <w:tcPr>
            <w:tcW w:w="3533" w:type="dxa"/>
            <w:tcBorders>
              <w:top w:val="single" w:sz="8" w:space="0" w:color="auto"/>
              <w:left w:val="single" w:sz="8" w:space="0" w:color="auto"/>
              <w:bottom w:val="nil"/>
              <w:right w:val="single" w:sz="4" w:space="0" w:color="auto"/>
            </w:tcBorders>
            <w:shd w:val="clear" w:color="auto" w:fill="auto"/>
            <w:vAlign w:val="center"/>
            <w:hideMark/>
          </w:tcPr>
          <w:p w14:paraId="467C5387"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Training Module</w:t>
            </w:r>
          </w:p>
        </w:tc>
        <w:tc>
          <w:tcPr>
            <w:tcW w:w="6117" w:type="dxa"/>
            <w:tcBorders>
              <w:top w:val="single" w:sz="8" w:space="0" w:color="auto"/>
              <w:left w:val="nil"/>
              <w:bottom w:val="nil"/>
              <w:right w:val="single" w:sz="8" w:space="0" w:color="auto"/>
            </w:tcBorders>
            <w:shd w:val="clear" w:color="auto" w:fill="auto"/>
            <w:vAlign w:val="center"/>
            <w:hideMark/>
          </w:tcPr>
          <w:p w14:paraId="2A9D488C"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Key Topics Covered</w:t>
            </w:r>
          </w:p>
        </w:tc>
      </w:tr>
      <w:tr w:rsidR="00B96700" w:rsidRPr="00AC0422" w14:paraId="23D71C76" w14:textId="77777777" w:rsidTr="00391BF1">
        <w:trPr>
          <w:trHeight w:val="274"/>
        </w:trPr>
        <w:tc>
          <w:tcPr>
            <w:tcW w:w="3533"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46501F0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1. Introduction to Climate Adaptation M&amp;E</w:t>
            </w:r>
          </w:p>
        </w:tc>
        <w:tc>
          <w:tcPr>
            <w:tcW w:w="6117" w:type="dxa"/>
            <w:tcBorders>
              <w:top w:val="single" w:sz="8" w:space="0" w:color="auto"/>
              <w:left w:val="nil"/>
              <w:bottom w:val="single" w:sz="4" w:space="0" w:color="auto"/>
              <w:right w:val="single" w:sz="8" w:space="0" w:color="auto"/>
            </w:tcBorders>
            <w:shd w:val="clear" w:color="auto" w:fill="auto"/>
            <w:vAlign w:val="center"/>
            <w:hideMark/>
          </w:tcPr>
          <w:p w14:paraId="0AC432A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Overview of the NAP’s gender-sensitive and conflict-sensitive M&amp;E framework.</w:t>
            </w:r>
          </w:p>
        </w:tc>
      </w:tr>
      <w:tr w:rsidR="00B96700" w:rsidRPr="00AC0422" w14:paraId="24B1ABF4" w14:textId="77777777" w:rsidTr="00391BF1">
        <w:trPr>
          <w:trHeight w:val="274"/>
        </w:trPr>
        <w:tc>
          <w:tcPr>
            <w:tcW w:w="3533" w:type="dxa"/>
            <w:vMerge/>
            <w:tcBorders>
              <w:top w:val="single" w:sz="8" w:space="0" w:color="auto"/>
              <w:left w:val="single" w:sz="8" w:space="0" w:color="auto"/>
              <w:bottom w:val="single" w:sz="8" w:space="0" w:color="000000"/>
              <w:right w:val="single" w:sz="4" w:space="0" w:color="auto"/>
            </w:tcBorders>
            <w:vAlign w:val="center"/>
            <w:hideMark/>
          </w:tcPr>
          <w:p w14:paraId="0E6BA9C5"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4" w:space="0" w:color="auto"/>
              <w:right w:val="single" w:sz="8" w:space="0" w:color="auto"/>
            </w:tcBorders>
            <w:shd w:val="clear" w:color="auto" w:fill="auto"/>
            <w:vAlign w:val="center"/>
            <w:hideMark/>
          </w:tcPr>
          <w:p w14:paraId="535CA84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The role of M&amp;E in tracking adaptation goals and effectiveness.</w:t>
            </w:r>
          </w:p>
        </w:tc>
      </w:tr>
      <w:tr w:rsidR="00B96700" w:rsidRPr="00AC0422" w14:paraId="4D7B043B" w14:textId="77777777" w:rsidTr="00391BF1">
        <w:trPr>
          <w:trHeight w:val="288"/>
        </w:trPr>
        <w:tc>
          <w:tcPr>
            <w:tcW w:w="3533" w:type="dxa"/>
            <w:vMerge/>
            <w:tcBorders>
              <w:top w:val="single" w:sz="8" w:space="0" w:color="auto"/>
              <w:left w:val="single" w:sz="8" w:space="0" w:color="auto"/>
              <w:bottom w:val="single" w:sz="8" w:space="0" w:color="000000"/>
              <w:right w:val="single" w:sz="4" w:space="0" w:color="auto"/>
            </w:tcBorders>
            <w:vAlign w:val="center"/>
            <w:hideMark/>
          </w:tcPr>
          <w:p w14:paraId="4F1E6D88"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8" w:space="0" w:color="auto"/>
              <w:right w:val="single" w:sz="8" w:space="0" w:color="auto"/>
            </w:tcBorders>
            <w:shd w:val="clear" w:color="auto" w:fill="auto"/>
            <w:vAlign w:val="center"/>
            <w:hideMark/>
          </w:tcPr>
          <w:p w14:paraId="5D5CD59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Understanding key adaptation indicators and reporting mechanisms.</w:t>
            </w:r>
          </w:p>
        </w:tc>
      </w:tr>
      <w:tr w:rsidR="00B96700" w:rsidRPr="00AC0422" w14:paraId="393213C6" w14:textId="77777777" w:rsidTr="00391BF1">
        <w:trPr>
          <w:trHeight w:val="548"/>
        </w:trPr>
        <w:tc>
          <w:tcPr>
            <w:tcW w:w="3533" w:type="dxa"/>
            <w:vMerge w:val="restart"/>
            <w:tcBorders>
              <w:top w:val="nil"/>
              <w:left w:val="single" w:sz="8" w:space="0" w:color="auto"/>
              <w:bottom w:val="single" w:sz="8" w:space="0" w:color="000000"/>
              <w:right w:val="single" w:sz="4" w:space="0" w:color="auto"/>
            </w:tcBorders>
            <w:shd w:val="clear" w:color="auto" w:fill="auto"/>
            <w:vAlign w:val="center"/>
            <w:hideMark/>
          </w:tcPr>
          <w:p w14:paraId="035E276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Developing and Using Adaptation Indicators</w:t>
            </w:r>
          </w:p>
        </w:tc>
        <w:tc>
          <w:tcPr>
            <w:tcW w:w="6117" w:type="dxa"/>
            <w:tcBorders>
              <w:top w:val="nil"/>
              <w:left w:val="nil"/>
              <w:bottom w:val="single" w:sz="4" w:space="0" w:color="auto"/>
              <w:right w:val="single" w:sz="8" w:space="0" w:color="auto"/>
            </w:tcBorders>
            <w:shd w:val="clear" w:color="auto" w:fill="auto"/>
            <w:vAlign w:val="center"/>
            <w:hideMark/>
          </w:tcPr>
          <w:p w14:paraId="4E193C7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Sector-specific adaptation indicators for water, agriculture, coastal zones, and health.</w:t>
            </w:r>
          </w:p>
        </w:tc>
      </w:tr>
      <w:tr w:rsidR="00B96700" w:rsidRPr="00AC0422" w14:paraId="25A73031" w14:textId="77777777" w:rsidTr="00391BF1">
        <w:trPr>
          <w:trHeight w:val="548"/>
        </w:trPr>
        <w:tc>
          <w:tcPr>
            <w:tcW w:w="3533" w:type="dxa"/>
            <w:vMerge/>
            <w:tcBorders>
              <w:top w:val="nil"/>
              <w:left w:val="single" w:sz="8" w:space="0" w:color="auto"/>
              <w:bottom w:val="single" w:sz="8" w:space="0" w:color="000000"/>
              <w:right w:val="single" w:sz="4" w:space="0" w:color="auto"/>
            </w:tcBorders>
            <w:vAlign w:val="center"/>
            <w:hideMark/>
          </w:tcPr>
          <w:p w14:paraId="512D6BA5"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4" w:space="0" w:color="auto"/>
              <w:right w:val="single" w:sz="8" w:space="0" w:color="auto"/>
            </w:tcBorders>
            <w:shd w:val="clear" w:color="auto" w:fill="auto"/>
            <w:vAlign w:val="center"/>
            <w:hideMark/>
          </w:tcPr>
          <w:p w14:paraId="5687752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Measuring adaptation outcomes by gender, age, ethnicity, and economic status.</w:t>
            </w:r>
          </w:p>
        </w:tc>
      </w:tr>
      <w:tr w:rsidR="00B96700" w:rsidRPr="00AC0422" w14:paraId="153267CA" w14:textId="77777777" w:rsidTr="00391BF1">
        <w:trPr>
          <w:trHeight w:val="562"/>
        </w:trPr>
        <w:tc>
          <w:tcPr>
            <w:tcW w:w="3533" w:type="dxa"/>
            <w:vMerge/>
            <w:tcBorders>
              <w:top w:val="nil"/>
              <w:left w:val="single" w:sz="8" w:space="0" w:color="auto"/>
              <w:bottom w:val="single" w:sz="8" w:space="0" w:color="000000"/>
              <w:right w:val="single" w:sz="4" w:space="0" w:color="auto"/>
            </w:tcBorders>
            <w:vAlign w:val="center"/>
            <w:hideMark/>
          </w:tcPr>
          <w:p w14:paraId="19F09069"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8" w:space="0" w:color="auto"/>
              <w:right w:val="single" w:sz="8" w:space="0" w:color="auto"/>
            </w:tcBorders>
            <w:shd w:val="clear" w:color="auto" w:fill="auto"/>
            <w:vAlign w:val="center"/>
            <w:hideMark/>
          </w:tcPr>
          <w:p w14:paraId="3CE0BFF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Aligning adaptation indicators with the UNFCCC Gender Action Plan, SDGs, and Sendai Framework.</w:t>
            </w:r>
          </w:p>
        </w:tc>
      </w:tr>
      <w:tr w:rsidR="00B96700" w:rsidRPr="00AC0422" w14:paraId="0D6DED5B" w14:textId="77777777" w:rsidTr="00391BF1">
        <w:trPr>
          <w:trHeight w:val="548"/>
        </w:trPr>
        <w:tc>
          <w:tcPr>
            <w:tcW w:w="3533" w:type="dxa"/>
            <w:vMerge w:val="restart"/>
            <w:tcBorders>
              <w:top w:val="nil"/>
              <w:left w:val="single" w:sz="8" w:space="0" w:color="auto"/>
              <w:bottom w:val="single" w:sz="8" w:space="0" w:color="000000"/>
              <w:right w:val="single" w:sz="4" w:space="0" w:color="auto"/>
            </w:tcBorders>
            <w:shd w:val="clear" w:color="auto" w:fill="auto"/>
            <w:vAlign w:val="center"/>
            <w:hideMark/>
          </w:tcPr>
          <w:p w14:paraId="49C4752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 Data Collection, Management, and Reporting</w:t>
            </w:r>
          </w:p>
        </w:tc>
        <w:tc>
          <w:tcPr>
            <w:tcW w:w="6117" w:type="dxa"/>
            <w:tcBorders>
              <w:top w:val="nil"/>
              <w:left w:val="nil"/>
              <w:bottom w:val="single" w:sz="4" w:space="0" w:color="auto"/>
              <w:right w:val="single" w:sz="8" w:space="0" w:color="auto"/>
            </w:tcBorders>
            <w:shd w:val="clear" w:color="auto" w:fill="auto"/>
            <w:vAlign w:val="center"/>
            <w:hideMark/>
          </w:tcPr>
          <w:p w14:paraId="10CFC2B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Methods for data collection (surveys, GIS, participatory approaches, remote sensing).</w:t>
            </w:r>
          </w:p>
        </w:tc>
      </w:tr>
      <w:tr w:rsidR="00B96700" w:rsidRPr="00AC0422" w14:paraId="71505710" w14:textId="77777777" w:rsidTr="00391BF1">
        <w:trPr>
          <w:trHeight w:val="274"/>
        </w:trPr>
        <w:tc>
          <w:tcPr>
            <w:tcW w:w="3533" w:type="dxa"/>
            <w:vMerge/>
            <w:tcBorders>
              <w:top w:val="nil"/>
              <w:left w:val="single" w:sz="8" w:space="0" w:color="auto"/>
              <w:bottom w:val="single" w:sz="8" w:space="0" w:color="000000"/>
              <w:right w:val="single" w:sz="4" w:space="0" w:color="auto"/>
            </w:tcBorders>
            <w:vAlign w:val="center"/>
            <w:hideMark/>
          </w:tcPr>
          <w:p w14:paraId="4D376DBC"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4" w:space="0" w:color="auto"/>
              <w:right w:val="single" w:sz="8" w:space="0" w:color="auto"/>
            </w:tcBorders>
            <w:shd w:val="clear" w:color="auto" w:fill="auto"/>
            <w:vAlign w:val="center"/>
            <w:hideMark/>
          </w:tcPr>
          <w:p w14:paraId="6279AF8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Strengthening institutional capacity for adaptation data management.</w:t>
            </w:r>
          </w:p>
        </w:tc>
      </w:tr>
      <w:tr w:rsidR="00B96700" w:rsidRPr="00AC0422" w14:paraId="5E1E8D15" w14:textId="77777777" w:rsidTr="00391BF1">
        <w:trPr>
          <w:trHeight w:val="562"/>
        </w:trPr>
        <w:tc>
          <w:tcPr>
            <w:tcW w:w="3533" w:type="dxa"/>
            <w:vMerge/>
            <w:tcBorders>
              <w:top w:val="nil"/>
              <w:left w:val="single" w:sz="8" w:space="0" w:color="auto"/>
              <w:bottom w:val="single" w:sz="8" w:space="0" w:color="000000"/>
              <w:right w:val="single" w:sz="4" w:space="0" w:color="auto"/>
            </w:tcBorders>
            <w:vAlign w:val="center"/>
            <w:hideMark/>
          </w:tcPr>
          <w:p w14:paraId="3228EC69"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8" w:space="0" w:color="auto"/>
              <w:right w:val="single" w:sz="8" w:space="0" w:color="auto"/>
            </w:tcBorders>
            <w:shd w:val="clear" w:color="auto" w:fill="auto"/>
            <w:vAlign w:val="center"/>
            <w:hideMark/>
          </w:tcPr>
          <w:p w14:paraId="67024BB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standard reporting templates for adaptation progress and outcomes.</w:t>
            </w:r>
          </w:p>
        </w:tc>
      </w:tr>
      <w:tr w:rsidR="00B96700" w:rsidRPr="00AC0422" w14:paraId="58EEF66F" w14:textId="77777777" w:rsidTr="00391BF1">
        <w:trPr>
          <w:trHeight w:val="274"/>
        </w:trPr>
        <w:tc>
          <w:tcPr>
            <w:tcW w:w="3533" w:type="dxa"/>
            <w:vMerge w:val="restart"/>
            <w:tcBorders>
              <w:top w:val="nil"/>
              <w:left w:val="single" w:sz="8" w:space="0" w:color="auto"/>
              <w:bottom w:val="single" w:sz="8" w:space="0" w:color="000000"/>
              <w:right w:val="single" w:sz="4" w:space="0" w:color="auto"/>
            </w:tcBorders>
            <w:shd w:val="clear" w:color="auto" w:fill="auto"/>
            <w:vAlign w:val="center"/>
            <w:hideMark/>
          </w:tcPr>
          <w:p w14:paraId="551738E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4. Lessons Learned and Continuous Improvement</w:t>
            </w:r>
          </w:p>
        </w:tc>
        <w:tc>
          <w:tcPr>
            <w:tcW w:w="6117" w:type="dxa"/>
            <w:tcBorders>
              <w:top w:val="nil"/>
              <w:left w:val="nil"/>
              <w:bottom w:val="single" w:sz="4" w:space="0" w:color="auto"/>
              <w:right w:val="single" w:sz="8" w:space="0" w:color="auto"/>
            </w:tcBorders>
            <w:shd w:val="clear" w:color="auto" w:fill="auto"/>
            <w:vAlign w:val="center"/>
            <w:hideMark/>
          </w:tcPr>
          <w:p w14:paraId="76EF647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Using the NAP Portal's lessons learned function for adaptation tracking.</w:t>
            </w:r>
          </w:p>
        </w:tc>
      </w:tr>
      <w:tr w:rsidR="00B96700" w:rsidRPr="00AC0422" w14:paraId="2B8F576E" w14:textId="77777777" w:rsidTr="00391BF1">
        <w:trPr>
          <w:trHeight w:val="548"/>
        </w:trPr>
        <w:tc>
          <w:tcPr>
            <w:tcW w:w="3533" w:type="dxa"/>
            <w:vMerge/>
            <w:tcBorders>
              <w:top w:val="nil"/>
              <w:left w:val="single" w:sz="8" w:space="0" w:color="auto"/>
              <w:bottom w:val="single" w:sz="8" w:space="0" w:color="000000"/>
              <w:right w:val="single" w:sz="4" w:space="0" w:color="auto"/>
            </w:tcBorders>
            <w:vAlign w:val="center"/>
            <w:hideMark/>
          </w:tcPr>
          <w:p w14:paraId="6270F73C"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4" w:space="0" w:color="auto"/>
              <w:right w:val="single" w:sz="8" w:space="0" w:color="auto"/>
            </w:tcBorders>
            <w:shd w:val="clear" w:color="auto" w:fill="auto"/>
            <w:vAlign w:val="center"/>
            <w:hideMark/>
          </w:tcPr>
          <w:p w14:paraId="22C99CC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Identifying, documenting, and sharing best practices from sectoral adaptation efforts.</w:t>
            </w:r>
          </w:p>
        </w:tc>
      </w:tr>
      <w:tr w:rsidR="00B96700" w:rsidRPr="00AC0422" w14:paraId="0D962D97" w14:textId="77777777" w:rsidTr="00391BF1">
        <w:trPr>
          <w:trHeight w:val="562"/>
        </w:trPr>
        <w:tc>
          <w:tcPr>
            <w:tcW w:w="3533" w:type="dxa"/>
            <w:vMerge/>
            <w:tcBorders>
              <w:top w:val="nil"/>
              <w:left w:val="single" w:sz="8" w:space="0" w:color="auto"/>
              <w:bottom w:val="single" w:sz="8" w:space="0" w:color="000000"/>
              <w:right w:val="single" w:sz="4" w:space="0" w:color="auto"/>
            </w:tcBorders>
            <w:vAlign w:val="center"/>
            <w:hideMark/>
          </w:tcPr>
          <w:p w14:paraId="3519DD18" w14:textId="77777777" w:rsidR="00B96700" w:rsidRPr="00AC0422" w:rsidRDefault="00B96700" w:rsidP="00391BF1">
            <w:pPr>
              <w:rPr>
                <w:rFonts w:asciiTheme="minorHAnsi" w:hAnsiTheme="minorHAnsi" w:cstheme="minorHAnsi"/>
                <w:color w:val="000000"/>
                <w:szCs w:val="20"/>
              </w:rPr>
            </w:pPr>
          </w:p>
        </w:tc>
        <w:tc>
          <w:tcPr>
            <w:tcW w:w="6117" w:type="dxa"/>
            <w:tcBorders>
              <w:top w:val="nil"/>
              <w:left w:val="nil"/>
              <w:bottom w:val="single" w:sz="8" w:space="0" w:color="auto"/>
              <w:right w:val="single" w:sz="8" w:space="0" w:color="auto"/>
            </w:tcBorders>
            <w:shd w:val="clear" w:color="auto" w:fill="auto"/>
            <w:vAlign w:val="center"/>
            <w:hideMark/>
          </w:tcPr>
          <w:p w14:paraId="3C43BC2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Developing summary reports and learning briefs for stakeholders and policymakers.</w:t>
            </w:r>
          </w:p>
        </w:tc>
      </w:tr>
      <w:tr w:rsidR="00B96700" w:rsidRPr="00AC0422" w14:paraId="6A7DB265" w14:textId="77777777" w:rsidTr="00391BF1">
        <w:trPr>
          <w:trHeight w:val="548"/>
        </w:trPr>
        <w:tc>
          <w:tcPr>
            <w:tcW w:w="3533" w:type="dxa"/>
            <w:vMerge w:val="restart"/>
            <w:tcBorders>
              <w:top w:val="nil"/>
              <w:left w:val="single" w:sz="8" w:space="0" w:color="auto"/>
              <w:bottom w:val="single" w:sz="8" w:space="0" w:color="000000"/>
              <w:right w:val="single" w:sz="4" w:space="0" w:color="auto"/>
            </w:tcBorders>
            <w:shd w:val="clear" w:color="auto" w:fill="auto"/>
            <w:vAlign w:val="center"/>
            <w:hideMark/>
          </w:tcPr>
          <w:p w14:paraId="555FB24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 Integrating M&amp;E with National and International Reporting</w:t>
            </w:r>
          </w:p>
        </w:tc>
        <w:tc>
          <w:tcPr>
            <w:tcW w:w="6117" w:type="dxa"/>
            <w:tcBorders>
              <w:top w:val="nil"/>
              <w:left w:val="nil"/>
              <w:bottom w:val="single" w:sz="4" w:space="0" w:color="auto"/>
              <w:right w:val="single" w:sz="8" w:space="0" w:color="auto"/>
            </w:tcBorders>
            <w:shd w:val="clear" w:color="auto" w:fill="auto"/>
            <w:vAlign w:val="center"/>
            <w:hideMark/>
          </w:tcPr>
          <w:p w14:paraId="53471F0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Linking Yemen’s adaptation M&amp;E system with national and UNFCCC reporting frameworks.</w:t>
            </w:r>
          </w:p>
        </w:tc>
      </w:tr>
      <w:tr w:rsidR="00B96700" w:rsidRPr="00AC0422" w14:paraId="395D1899" w14:textId="77777777" w:rsidTr="00391BF1">
        <w:trPr>
          <w:trHeight w:val="548"/>
        </w:trPr>
        <w:tc>
          <w:tcPr>
            <w:tcW w:w="3533" w:type="dxa"/>
            <w:vMerge/>
            <w:tcBorders>
              <w:top w:val="nil"/>
              <w:left w:val="single" w:sz="8" w:space="0" w:color="auto"/>
              <w:bottom w:val="single" w:sz="8" w:space="0" w:color="000000"/>
              <w:right w:val="single" w:sz="4" w:space="0" w:color="auto"/>
            </w:tcBorders>
            <w:vAlign w:val="center"/>
            <w:hideMark/>
          </w:tcPr>
          <w:p w14:paraId="7331B3A4" w14:textId="77777777" w:rsidR="00B96700" w:rsidRPr="00AC0422" w:rsidRDefault="00B96700" w:rsidP="00391BF1">
            <w:pPr>
              <w:rPr>
                <w:rFonts w:asciiTheme="minorHAnsi" w:hAnsiTheme="minorHAnsi" w:cstheme="minorHAnsi"/>
                <w:b/>
                <w:bCs/>
                <w:color w:val="000000"/>
                <w:szCs w:val="20"/>
              </w:rPr>
            </w:pPr>
          </w:p>
        </w:tc>
        <w:tc>
          <w:tcPr>
            <w:tcW w:w="6117" w:type="dxa"/>
            <w:tcBorders>
              <w:top w:val="nil"/>
              <w:left w:val="nil"/>
              <w:bottom w:val="single" w:sz="4" w:space="0" w:color="auto"/>
              <w:right w:val="single" w:sz="8" w:space="0" w:color="auto"/>
            </w:tcBorders>
            <w:shd w:val="clear" w:color="auto" w:fill="auto"/>
            <w:vAlign w:val="center"/>
            <w:hideMark/>
          </w:tcPr>
          <w:p w14:paraId="54C58A7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Aligning adaptation reporting with NDCs, National Communications (NCs), and Biennial Transparency Reports (BTRs).</w:t>
            </w:r>
          </w:p>
        </w:tc>
      </w:tr>
      <w:tr w:rsidR="00B96700" w:rsidRPr="00AC0422" w14:paraId="32430DBE" w14:textId="77777777" w:rsidTr="00391BF1">
        <w:trPr>
          <w:trHeight w:val="562"/>
        </w:trPr>
        <w:tc>
          <w:tcPr>
            <w:tcW w:w="3533" w:type="dxa"/>
            <w:vMerge/>
            <w:tcBorders>
              <w:top w:val="nil"/>
              <w:left w:val="single" w:sz="8" w:space="0" w:color="auto"/>
              <w:bottom w:val="single" w:sz="8" w:space="0" w:color="000000"/>
              <w:right w:val="single" w:sz="4" w:space="0" w:color="auto"/>
            </w:tcBorders>
            <w:vAlign w:val="center"/>
            <w:hideMark/>
          </w:tcPr>
          <w:p w14:paraId="43856F9C" w14:textId="77777777" w:rsidR="00B96700" w:rsidRPr="00AC0422" w:rsidRDefault="00B96700" w:rsidP="00391BF1">
            <w:pPr>
              <w:rPr>
                <w:rFonts w:asciiTheme="minorHAnsi" w:hAnsiTheme="minorHAnsi" w:cstheme="minorHAnsi"/>
                <w:b/>
                <w:bCs/>
                <w:color w:val="000000"/>
                <w:szCs w:val="20"/>
              </w:rPr>
            </w:pPr>
          </w:p>
        </w:tc>
        <w:tc>
          <w:tcPr>
            <w:tcW w:w="6117" w:type="dxa"/>
            <w:tcBorders>
              <w:top w:val="nil"/>
              <w:left w:val="nil"/>
              <w:bottom w:val="single" w:sz="8" w:space="0" w:color="auto"/>
              <w:right w:val="single" w:sz="8" w:space="0" w:color="auto"/>
            </w:tcBorders>
            <w:shd w:val="clear" w:color="auto" w:fill="auto"/>
            <w:vAlign w:val="center"/>
            <w:hideMark/>
          </w:tcPr>
          <w:p w14:paraId="71179F3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Strengthening collaboration between COCA, TCCC, and ministries for M&amp;E integration.</w:t>
            </w:r>
          </w:p>
        </w:tc>
      </w:tr>
    </w:tbl>
    <w:p w14:paraId="5172FDED" w14:textId="77777777" w:rsidR="00B96700" w:rsidRPr="00AC0422" w:rsidRDefault="00B96700" w:rsidP="00B96700">
      <w:pPr>
        <w:rPr>
          <w:rFonts w:asciiTheme="minorHAnsi" w:hAnsiTheme="minorHAnsi" w:cstheme="minorHAnsi"/>
          <w:szCs w:val="20"/>
          <w:lang w:eastAsia="en-GB"/>
        </w:rPr>
      </w:pPr>
    </w:p>
    <w:bookmarkEnd w:id="23"/>
    <w:p w14:paraId="43844703" w14:textId="77777777" w:rsidR="00B96700" w:rsidRPr="00AC0422" w:rsidRDefault="00B96700" w:rsidP="00B96700">
      <w:pPr>
        <w:tabs>
          <w:tab w:val="num" w:pos="720"/>
          <w:tab w:val="num" w:pos="1440"/>
        </w:tabs>
        <w:rPr>
          <w:rFonts w:asciiTheme="minorHAnsi" w:hAnsiTheme="minorHAnsi" w:cstheme="minorHAnsi"/>
          <w:szCs w:val="20"/>
          <w:lang w:eastAsia="en-GB"/>
        </w:rPr>
      </w:pPr>
      <w:r w:rsidRPr="00AC0422">
        <w:rPr>
          <w:rFonts w:asciiTheme="minorHAnsi" w:hAnsiTheme="minorHAnsi" w:cstheme="minorHAnsi"/>
          <w:szCs w:val="20"/>
          <w:lang w:eastAsia="en-GB"/>
        </w:rPr>
        <w:t>Each training workshop will prioritize gender balance and include representatives from national and sub-national institutions, civil society, academia, and the private sector. Hence special attention will be given to including women, youth, and marginalized groups to promote inclusivity in adaptation monitoring and decision-making and participants from local and regional government agencies will be prioritized to enhance decentralized adaptation monitoring capacity. Each training workshop will be conducted over one day and will ensure a balance between theoretical learning and hands-on exercises.</w:t>
      </w:r>
    </w:p>
    <w:p w14:paraId="44A516BB" w14:textId="77777777" w:rsidR="00B96700" w:rsidRPr="00AC0422" w:rsidRDefault="00B96700" w:rsidP="00B96700">
      <w:pPr>
        <w:tabs>
          <w:tab w:val="num" w:pos="720"/>
          <w:tab w:val="num" w:pos="1440"/>
        </w:tabs>
        <w:rPr>
          <w:rFonts w:asciiTheme="minorHAnsi" w:hAnsiTheme="minorHAnsi" w:cstheme="minorHAnsi"/>
          <w:szCs w:val="20"/>
          <w:lang w:eastAsia="en-GB"/>
        </w:rPr>
      </w:pPr>
    </w:p>
    <w:tbl>
      <w:tblPr>
        <w:tblW w:w="9138" w:type="dxa"/>
        <w:tblLook w:val="04A0" w:firstRow="1" w:lastRow="0" w:firstColumn="1" w:lastColumn="0" w:noHBand="0" w:noVBand="1"/>
      </w:tblPr>
      <w:tblGrid>
        <w:gridCol w:w="3998"/>
        <w:gridCol w:w="2083"/>
        <w:gridCol w:w="3057"/>
      </w:tblGrid>
      <w:tr w:rsidR="00B96700" w:rsidRPr="00AC0422" w14:paraId="72702419" w14:textId="77777777" w:rsidTr="00391BF1">
        <w:trPr>
          <w:trHeight w:val="518"/>
        </w:trPr>
        <w:tc>
          <w:tcPr>
            <w:tcW w:w="3998"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C65D935"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 Group</w:t>
            </w:r>
          </w:p>
        </w:tc>
        <w:tc>
          <w:tcPr>
            <w:tcW w:w="2083" w:type="dxa"/>
            <w:tcBorders>
              <w:top w:val="single" w:sz="8" w:space="0" w:color="auto"/>
              <w:left w:val="nil"/>
              <w:bottom w:val="single" w:sz="4" w:space="0" w:color="auto"/>
              <w:right w:val="single" w:sz="4" w:space="0" w:color="auto"/>
            </w:tcBorders>
            <w:shd w:val="clear" w:color="auto" w:fill="auto"/>
            <w:vAlign w:val="center"/>
            <w:hideMark/>
          </w:tcPr>
          <w:p w14:paraId="3A4A6E7E"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Participants Per Workshop</w:t>
            </w:r>
          </w:p>
        </w:tc>
        <w:tc>
          <w:tcPr>
            <w:tcW w:w="3057" w:type="dxa"/>
            <w:tcBorders>
              <w:top w:val="single" w:sz="8" w:space="0" w:color="auto"/>
              <w:left w:val="nil"/>
              <w:bottom w:val="single" w:sz="4" w:space="0" w:color="auto"/>
              <w:right w:val="single" w:sz="8" w:space="0" w:color="auto"/>
            </w:tcBorders>
            <w:shd w:val="clear" w:color="auto" w:fill="auto"/>
            <w:vAlign w:val="center"/>
            <w:hideMark/>
          </w:tcPr>
          <w:p w14:paraId="547DA001"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Gender Target (Men/Women %)</w:t>
            </w:r>
          </w:p>
        </w:tc>
      </w:tr>
      <w:tr w:rsidR="00B96700" w:rsidRPr="00AC0422" w14:paraId="03FF4458" w14:textId="77777777" w:rsidTr="00391BF1">
        <w:trPr>
          <w:trHeight w:val="259"/>
        </w:trPr>
        <w:tc>
          <w:tcPr>
            <w:tcW w:w="3998" w:type="dxa"/>
            <w:tcBorders>
              <w:top w:val="nil"/>
              <w:left w:val="single" w:sz="8" w:space="0" w:color="auto"/>
              <w:bottom w:val="single" w:sz="4" w:space="0" w:color="auto"/>
              <w:right w:val="single" w:sz="4" w:space="0" w:color="auto"/>
            </w:tcBorders>
            <w:shd w:val="clear" w:color="auto" w:fill="auto"/>
            <w:vAlign w:val="center"/>
            <w:hideMark/>
          </w:tcPr>
          <w:p w14:paraId="5325B5D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TCCC Members</w:t>
            </w:r>
          </w:p>
        </w:tc>
        <w:tc>
          <w:tcPr>
            <w:tcW w:w="2083" w:type="dxa"/>
            <w:tcBorders>
              <w:top w:val="nil"/>
              <w:left w:val="nil"/>
              <w:bottom w:val="single" w:sz="4" w:space="0" w:color="auto"/>
              <w:right w:val="single" w:sz="4" w:space="0" w:color="auto"/>
            </w:tcBorders>
            <w:shd w:val="clear" w:color="auto" w:fill="auto"/>
            <w:vAlign w:val="center"/>
            <w:hideMark/>
          </w:tcPr>
          <w:p w14:paraId="68BDBC04"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3057" w:type="dxa"/>
            <w:tcBorders>
              <w:top w:val="nil"/>
              <w:left w:val="nil"/>
              <w:bottom w:val="single" w:sz="4" w:space="0" w:color="auto"/>
              <w:right w:val="single" w:sz="8" w:space="0" w:color="auto"/>
            </w:tcBorders>
            <w:shd w:val="clear" w:color="auto" w:fill="auto"/>
            <w:vAlign w:val="center"/>
            <w:hideMark/>
          </w:tcPr>
          <w:p w14:paraId="51E2C729"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r>
      <w:tr w:rsidR="00B96700" w:rsidRPr="00AC0422" w14:paraId="72B0727B" w14:textId="77777777" w:rsidTr="00391BF1">
        <w:trPr>
          <w:trHeight w:val="518"/>
        </w:trPr>
        <w:tc>
          <w:tcPr>
            <w:tcW w:w="3998" w:type="dxa"/>
            <w:tcBorders>
              <w:top w:val="nil"/>
              <w:left w:val="single" w:sz="8" w:space="0" w:color="auto"/>
              <w:bottom w:val="single" w:sz="4" w:space="0" w:color="auto"/>
              <w:right w:val="single" w:sz="4" w:space="0" w:color="auto"/>
            </w:tcBorders>
            <w:shd w:val="clear" w:color="auto" w:fill="auto"/>
            <w:vAlign w:val="center"/>
            <w:hideMark/>
          </w:tcPr>
          <w:p w14:paraId="72ED8C4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COCA Representatives (Central Organization for Control and Auditing)</w:t>
            </w:r>
          </w:p>
        </w:tc>
        <w:tc>
          <w:tcPr>
            <w:tcW w:w="2083" w:type="dxa"/>
            <w:tcBorders>
              <w:top w:val="nil"/>
              <w:left w:val="nil"/>
              <w:bottom w:val="single" w:sz="4" w:space="0" w:color="auto"/>
              <w:right w:val="single" w:sz="4" w:space="0" w:color="auto"/>
            </w:tcBorders>
            <w:shd w:val="clear" w:color="auto" w:fill="auto"/>
            <w:vAlign w:val="center"/>
            <w:hideMark/>
          </w:tcPr>
          <w:p w14:paraId="1E2B755C"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057" w:type="dxa"/>
            <w:tcBorders>
              <w:top w:val="nil"/>
              <w:left w:val="nil"/>
              <w:bottom w:val="single" w:sz="4" w:space="0" w:color="auto"/>
              <w:right w:val="single" w:sz="8" w:space="0" w:color="auto"/>
            </w:tcBorders>
            <w:shd w:val="clear" w:color="auto" w:fill="auto"/>
            <w:vAlign w:val="center"/>
            <w:hideMark/>
          </w:tcPr>
          <w:p w14:paraId="0441FDC0"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1AB9AEF6" w14:textId="77777777" w:rsidTr="00391BF1">
        <w:trPr>
          <w:trHeight w:val="518"/>
        </w:trPr>
        <w:tc>
          <w:tcPr>
            <w:tcW w:w="3998" w:type="dxa"/>
            <w:tcBorders>
              <w:top w:val="nil"/>
              <w:left w:val="single" w:sz="8" w:space="0" w:color="auto"/>
              <w:bottom w:val="single" w:sz="4" w:space="0" w:color="auto"/>
              <w:right w:val="single" w:sz="4" w:space="0" w:color="auto"/>
            </w:tcBorders>
            <w:shd w:val="clear" w:color="auto" w:fill="auto"/>
            <w:vAlign w:val="center"/>
            <w:hideMark/>
          </w:tcPr>
          <w:p w14:paraId="7624E0A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Sectoral Ministries (Water, Agriculture, Health, Environment, Planning)</w:t>
            </w:r>
          </w:p>
        </w:tc>
        <w:tc>
          <w:tcPr>
            <w:tcW w:w="2083" w:type="dxa"/>
            <w:tcBorders>
              <w:top w:val="nil"/>
              <w:left w:val="nil"/>
              <w:bottom w:val="single" w:sz="4" w:space="0" w:color="auto"/>
              <w:right w:val="single" w:sz="4" w:space="0" w:color="auto"/>
            </w:tcBorders>
            <w:shd w:val="clear" w:color="auto" w:fill="auto"/>
            <w:vAlign w:val="center"/>
            <w:hideMark/>
          </w:tcPr>
          <w:p w14:paraId="7FCC40C2"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20</w:t>
            </w:r>
          </w:p>
        </w:tc>
        <w:tc>
          <w:tcPr>
            <w:tcW w:w="3057" w:type="dxa"/>
            <w:tcBorders>
              <w:top w:val="nil"/>
              <w:left w:val="nil"/>
              <w:bottom w:val="single" w:sz="4" w:space="0" w:color="auto"/>
              <w:right w:val="single" w:sz="8" w:space="0" w:color="auto"/>
            </w:tcBorders>
            <w:shd w:val="clear" w:color="auto" w:fill="auto"/>
            <w:vAlign w:val="center"/>
            <w:hideMark/>
          </w:tcPr>
          <w:p w14:paraId="59DD52AD"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r>
      <w:tr w:rsidR="00B96700" w:rsidRPr="00AC0422" w14:paraId="7EDE1F75" w14:textId="77777777" w:rsidTr="00391BF1">
        <w:trPr>
          <w:trHeight w:val="259"/>
        </w:trPr>
        <w:tc>
          <w:tcPr>
            <w:tcW w:w="3998" w:type="dxa"/>
            <w:tcBorders>
              <w:top w:val="nil"/>
              <w:left w:val="single" w:sz="8" w:space="0" w:color="auto"/>
              <w:bottom w:val="single" w:sz="4" w:space="0" w:color="auto"/>
              <w:right w:val="single" w:sz="4" w:space="0" w:color="auto"/>
            </w:tcBorders>
            <w:shd w:val="clear" w:color="auto" w:fill="auto"/>
            <w:vAlign w:val="center"/>
            <w:hideMark/>
          </w:tcPr>
          <w:p w14:paraId="6079CD5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Local Government &amp; Regional Authorities</w:t>
            </w:r>
          </w:p>
        </w:tc>
        <w:tc>
          <w:tcPr>
            <w:tcW w:w="2083" w:type="dxa"/>
            <w:tcBorders>
              <w:top w:val="nil"/>
              <w:left w:val="nil"/>
              <w:bottom w:val="single" w:sz="4" w:space="0" w:color="auto"/>
              <w:right w:val="single" w:sz="4" w:space="0" w:color="auto"/>
            </w:tcBorders>
            <w:shd w:val="clear" w:color="auto" w:fill="auto"/>
            <w:vAlign w:val="center"/>
            <w:hideMark/>
          </w:tcPr>
          <w:p w14:paraId="3BC832E4"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3057" w:type="dxa"/>
            <w:tcBorders>
              <w:top w:val="nil"/>
              <w:left w:val="nil"/>
              <w:bottom w:val="single" w:sz="4" w:space="0" w:color="auto"/>
              <w:right w:val="single" w:sz="8" w:space="0" w:color="auto"/>
            </w:tcBorders>
            <w:shd w:val="clear" w:color="auto" w:fill="auto"/>
            <w:vAlign w:val="center"/>
            <w:hideMark/>
          </w:tcPr>
          <w:p w14:paraId="0A5520F5"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5E9DE96F" w14:textId="77777777" w:rsidTr="00391BF1">
        <w:trPr>
          <w:trHeight w:val="259"/>
        </w:trPr>
        <w:tc>
          <w:tcPr>
            <w:tcW w:w="3998" w:type="dxa"/>
            <w:tcBorders>
              <w:top w:val="nil"/>
              <w:left w:val="single" w:sz="8" w:space="0" w:color="auto"/>
              <w:bottom w:val="single" w:sz="4" w:space="0" w:color="auto"/>
              <w:right w:val="single" w:sz="4" w:space="0" w:color="auto"/>
            </w:tcBorders>
            <w:shd w:val="clear" w:color="auto" w:fill="auto"/>
            <w:vAlign w:val="center"/>
            <w:hideMark/>
          </w:tcPr>
          <w:p w14:paraId="2A69BE2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Civil Society Organizations (CSOs) &amp; NGOs</w:t>
            </w:r>
          </w:p>
        </w:tc>
        <w:tc>
          <w:tcPr>
            <w:tcW w:w="2083" w:type="dxa"/>
            <w:tcBorders>
              <w:top w:val="nil"/>
              <w:left w:val="nil"/>
              <w:bottom w:val="single" w:sz="4" w:space="0" w:color="auto"/>
              <w:right w:val="single" w:sz="4" w:space="0" w:color="auto"/>
            </w:tcBorders>
            <w:shd w:val="clear" w:color="auto" w:fill="auto"/>
            <w:vAlign w:val="center"/>
            <w:hideMark/>
          </w:tcPr>
          <w:p w14:paraId="35B067D6"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057" w:type="dxa"/>
            <w:tcBorders>
              <w:top w:val="nil"/>
              <w:left w:val="nil"/>
              <w:bottom w:val="single" w:sz="4" w:space="0" w:color="auto"/>
              <w:right w:val="single" w:sz="8" w:space="0" w:color="auto"/>
            </w:tcBorders>
            <w:shd w:val="clear" w:color="auto" w:fill="auto"/>
            <w:vAlign w:val="center"/>
            <w:hideMark/>
          </w:tcPr>
          <w:p w14:paraId="4B8C40C7"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40% Men, 60% Women</w:t>
            </w:r>
          </w:p>
        </w:tc>
      </w:tr>
      <w:tr w:rsidR="00B96700" w:rsidRPr="00AC0422" w14:paraId="3FE85B0B" w14:textId="77777777" w:rsidTr="00391BF1">
        <w:trPr>
          <w:trHeight w:val="259"/>
        </w:trPr>
        <w:tc>
          <w:tcPr>
            <w:tcW w:w="3998" w:type="dxa"/>
            <w:tcBorders>
              <w:top w:val="nil"/>
              <w:left w:val="single" w:sz="8" w:space="0" w:color="auto"/>
              <w:bottom w:val="single" w:sz="4" w:space="0" w:color="auto"/>
              <w:right w:val="single" w:sz="4" w:space="0" w:color="auto"/>
            </w:tcBorders>
            <w:shd w:val="clear" w:color="auto" w:fill="auto"/>
            <w:vAlign w:val="center"/>
            <w:hideMark/>
          </w:tcPr>
          <w:p w14:paraId="6B112AA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Research &amp; Academic Institutions</w:t>
            </w:r>
          </w:p>
        </w:tc>
        <w:tc>
          <w:tcPr>
            <w:tcW w:w="2083" w:type="dxa"/>
            <w:tcBorders>
              <w:top w:val="nil"/>
              <w:left w:val="nil"/>
              <w:bottom w:val="single" w:sz="4" w:space="0" w:color="auto"/>
              <w:right w:val="single" w:sz="4" w:space="0" w:color="auto"/>
            </w:tcBorders>
            <w:shd w:val="clear" w:color="auto" w:fill="auto"/>
            <w:vAlign w:val="center"/>
            <w:hideMark/>
          </w:tcPr>
          <w:p w14:paraId="0C9F2982"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3057" w:type="dxa"/>
            <w:tcBorders>
              <w:top w:val="nil"/>
              <w:left w:val="nil"/>
              <w:bottom w:val="single" w:sz="4" w:space="0" w:color="auto"/>
              <w:right w:val="single" w:sz="8" w:space="0" w:color="auto"/>
            </w:tcBorders>
            <w:shd w:val="clear" w:color="auto" w:fill="auto"/>
            <w:vAlign w:val="center"/>
            <w:hideMark/>
          </w:tcPr>
          <w:p w14:paraId="5108210A"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3FC0E7FE" w14:textId="77777777" w:rsidTr="00391BF1">
        <w:trPr>
          <w:trHeight w:val="259"/>
        </w:trPr>
        <w:tc>
          <w:tcPr>
            <w:tcW w:w="3998" w:type="dxa"/>
            <w:tcBorders>
              <w:top w:val="nil"/>
              <w:left w:val="single" w:sz="8" w:space="0" w:color="auto"/>
              <w:bottom w:val="single" w:sz="4" w:space="0" w:color="auto"/>
              <w:right w:val="single" w:sz="4" w:space="0" w:color="auto"/>
            </w:tcBorders>
            <w:shd w:val="clear" w:color="auto" w:fill="auto"/>
            <w:vAlign w:val="center"/>
            <w:hideMark/>
          </w:tcPr>
          <w:p w14:paraId="4FF989B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Private Sector &amp; Development Partners</w:t>
            </w:r>
          </w:p>
        </w:tc>
        <w:tc>
          <w:tcPr>
            <w:tcW w:w="2083" w:type="dxa"/>
            <w:tcBorders>
              <w:top w:val="nil"/>
              <w:left w:val="nil"/>
              <w:bottom w:val="single" w:sz="4" w:space="0" w:color="auto"/>
              <w:right w:val="single" w:sz="4" w:space="0" w:color="auto"/>
            </w:tcBorders>
            <w:shd w:val="clear" w:color="auto" w:fill="auto"/>
            <w:vAlign w:val="center"/>
            <w:hideMark/>
          </w:tcPr>
          <w:p w14:paraId="33260236"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3057" w:type="dxa"/>
            <w:tcBorders>
              <w:top w:val="nil"/>
              <w:left w:val="nil"/>
              <w:bottom w:val="single" w:sz="4" w:space="0" w:color="auto"/>
              <w:right w:val="single" w:sz="8" w:space="0" w:color="auto"/>
            </w:tcBorders>
            <w:shd w:val="clear" w:color="auto" w:fill="auto"/>
            <w:vAlign w:val="center"/>
            <w:hideMark/>
          </w:tcPr>
          <w:p w14:paraId="542F9055"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2D530031" w14:textId="77777777" w:rsidTr="00391BF1">
        <w:trPr>
          <w:trHeight w:val="272"/>
        </w:trPr>
        <w:tc>
          <w:tcPr>
            <w:tcW w:w="3998" w:type="dxa"/>
            <w:tcBorders>
              <w:top w:val="nil"/>
              <w:left w:val="single" w:sz="8" w:space="0" w:color="auto"/>
              <w:bottom w:val="single" w:sz="8" w:space="0" w:color="auto"/>
              <w:right w:val="single" w:sz="4" w:space="0" w:color="auto"/>
            </w:tcBorders>
            <w:shd w:val="clear" w:color="auto" w:fill="auto"/>
            <w:vAlign w:val="center"/>
            <w:hideMark/>
          </w:tcPr>
          <w:p w14:paraId="6690D05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Total Participants Per Workshop</w:t>
            </w:r>
          </w:p>
        </w:tc>
        <w:tc>
          <w:tcPr>
            <w:tcW w:w="2083" w:type="dxa"/>
            <w:tcBorders>
              <w:top w:val="nil"/>
              <w:left w:val="nil"/>
              <w:bottom w:val="single" w:sz="8" w:space="0" w:color="auto"/>
              <w:right w:val="single" w:sz="4" w:space="0" w:color="auto"/>
            </w:tcBorders>
            <w:shd w:val="clear" w:color="auto" w:fill="auto"/>
            <w:vAlign w:val="center"/>
            <w:hideMark/>
          </w:tcPr>
          <w:p w14:paraId="5C94937C"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80</w:t>
            </w:r>
          </w:p>
        </w:tc>
        <w:tc>
          <w:tcPr>
            <w:tcW w:w="3057" w:type="dxa"/>
            <w:tcBorders>
              <w:top w:val="nil"/>
              <w:left w:val="nil"/>
              <w:bottom w:val="single" w:sz="8" w:space="0" w:color="auto"/>
              <w:right w:val="single" w:sz="8" w:space="0" w:color="auto"/>
            </w:tcBorders>
            <w:shd w:val="clear" w:color="auto" w:fill="auto"/>
            <w:vAlign w:val="center"/>
            <w:hideMark/>
          </w:tcPr>
          <w:p w14:paraId="4AEAD0A4"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50-55% Men, 45-50% Women</w:t>
            </w:r>
          </w:p>
        </w:tc>
      </w:tr>
    </w:tbl>
    <w:p w14:paraId="643B1EC2" w14:textId="77777777" w:rsidR="00B96700" w:rsidRPr="00AC0422" w:rsidRDefault="00B96700" w:rsidP="00B96700">
      <w:pPr>
        <w:tabs>
          <w:tab w:val="num" w:pos="720"/>
          <w:tab w:val="num" w:pos="1440"/>
        </w:tabs>
        <w:rPr>
          <w:rFonts w:asciiTheme="minorHAnsi" w:hAnsiTheme="minorHAnsi" w:cstheme="minorHAnsi"/>
          <w:szCs w:val="20"/>
          <w:lang w:eastAsia="en-GB"/>
        </w:rPr>
      </w:pPr>
    </w:p>
    <w:p w14:paraId="4B17D2D7" w14:textId="77777777" w:rsidR="00B96700" w:rsidRPr="00AC0422" w:rsidRDefault="00B96700" w:rsidP="00B96700">
      <w:pPr>
        <w:tabs>
          <w:tab w:val="num" w:pos="720"/>
          <w:tab w:val="num" w:pos="1440"/>
        </w:tabs>
        <w:rPr>
          <w:rFonts w:asciiTheme="minorHAnsi" w:hAnsiTheme="minorHAnsi" w:cstheme="minorHAnsi"/>
          <w:szCs w:val="20"/>
          <w:lang w:eastAsia="en-GB"/>
        </w:rPr>
      </w:pPr>
      <w:r w:rsidRPr="00AC0422">
        <w:rPr>
          <w:rFonts w:asciiTheme="minorHAnsi" w:hAnsiTheme="minorHAnsi" w:cstheme="minorHAnsi"/>
          <w:szCs w:val="20"/>
          <w:lang w:eastAsia="en-GB"/>
        </w:rPr>
        <w:t>The training will involve government institutions, technical agencies, research bodies, civil society, and development partners.</w:t>
      </w:r>
    </w:p>
    <w:p w14:paraId="6C005E31" w14:textId="77777777" w:rsidR="00B96700" w:rsidRPr="00AC0422" w:rsidRDefault="00B96700" w:rsidP="00B96700">
      <w:pPr>
        <w:tabs>
          <w:tab w:val="num" w:pos="720"/>
          <w:tab w:val="num" w:pos="1440"/>
        </w:tabs>
        <w:rPr>
          <w:rFonts w:asciiTheme="minorHAnsi" w:hAnsiTheme="minorHAnsi" w:cstheme="minorHAnsi"/>
          <w:szCs w:val="20"/>
          <w:lang w:eastAsia="en-GB"/>
        </w:rPr>
      </w:pPr>
    </w:p>
    <w:p w14:paraId="652A60B4"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14</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Targeted Stakeholders</w:t>
      </w:r>
    </w:p>
    <w:tbl>
      <w:tblPr>
        <w:tblW w:w="9581" w:type="dxa"/>
        <w:tblLook w:val="04A0" w:firstRow="1" w:lastRow="0" w:firstColumn="1" w:lastColumn="0" w:noHBand="0" w:noVBand="1"/>
      </w:tblPr>
      <w:tblGrid>
        <w:gridCol w:w="3959"/>
        <w:gridCol w:w="5622"/>
      </w:tblGrid>
      <w:tr w:rsidR="00B96700" w:rsidRPr="00AC0422" w14:paraId="5FB6FA56" w14:textId="77777777" w:rsidTr="00391BF1">
        <w:trPr>
          <w:trHeight w:val="271"/>
        </w:trPr>
        <w:tc>
          <w:tcPr>
            <w:tcW w:w="395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5CCD09A"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Institution</w:t>
            </w:r>
          </w:p>
        </w:tc>
        <w:tc>
          <w:tcPr>
            <w:tcW w:w="5622" w:type="dxa"/>
            <w:tcBorders>
              <w:top w:val="single" w:sz="8" w:space="0" w:color="auto"/>
              <w:left w:val="nil"/>
              <w:bottom w:val="single" w:sz="4" w:space="0" w:color="auto"/>
              <w:right w:val="single" w:sz="8" w:space="0" w:color="auto"/>
            </w:tcBorders>
            <w:shd w:val="clear" w:color="auto" w:fill="auto"/>
            <w:vAlign w:val="center"/>
            <w:hideMark/>
          </w:tcPr>
          <w:p w14:paraId="3D6B7D69"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Role in Training</w:t>
            </w:r>
          </w:p>
        </w:tc>
      </w:tr>
      <w:tr w:rsidR="00B96700" w:rsidRPr="00AC0422" w14:paraId="592DA9F3" w14:textId="77777777" w:rsidTr="00391BF1">
        <w:trPr>
          <w:trHeight w:val="387"/>
        </w:trPr>
        <w:tc>
          <w:tcPr>
            <w:tcW w:w="3959" w:type="dxa"/>
            <w:tcBorders>
              <w:top w:val="nil"/>
              <w:left w:val="single" w:sz="8" w:space="0" w:color="auto"/>
              <w:bottom w:val="single" w:sz="4" w:space="0" w:color="auto"/>
              <w:right w:val="single" w:sz="4" w:space="0" w:color="auto"/>
            </w:tcBorders>
            <w:shd w:val="clear" w:color="auto" w:fill="auto"/>
            <w:vAlign w:val="center"/>
            <w:hideMark/>
          </w:tcPr>
          <w:p w14:paraId="09AEA33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Environmental Protection Authority (EPA)</w:t>
            </w:r>
          </w:p>
        </w:tc>
        <w:tc>
          <w:tcPr>
            <w:tcW w:w="5622" w:type="dxa"/>
            <w:tcBorders>
              <w:top w:val="nil"/>
              <w:left w:val="nil"/>
              <w:bottom w:val="single" w:sz="4" w:space="0" w:color="auto"/>
              <w:right w:val="single" w:sz="8" w:space="0" w:color="auto"/>
            </w:tcBorders>
            <w:shd w:val="clear" w:color="auto" w:fill="auto"/>
            <w:vAlign w:val="center"/>
            <w:hideMark/>
          </w:tcPr>
          <w:p w14:paraId="0BB9278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Lead agency for adaptation monitoring and reporting.</w:t>
            </w:r>
          </w:p>
        </w:tc>
      </w:tr>
      <w:tr w:rsidR="00B96700" w:rsidRPr="00AC0422" w14:paraId="2DC42548" w14:textId="77777777" w:rsidTr="00391BF1">
        <w:trPr>
          <w:trHeight w:val="421"/>
        </w:trPr>
        <w:tc>
          <w:tcPr>
            <w:tcW w:w="3959" w:type="dxa"/>
            <w:tcBorders>
              <w:top w:val="nil"/>
              <w:left w:val="single" w:sz="8" w:space="0" w:color="auto"/>
              <w:bottom w:val="single" w:sz="4" w:space="0" w:color="auto"/>
              <w:right w:val="single" w:sz="4" w:space="0" w:color="auto"/>
            </w:tcBorders>
            <w:shd w:val="clear" w:color="auto" w:fill="auto"/>
            <w:vAlign w:val="center"/>
            <w:hideMark/>
          </w:tcPr>
          <w:p w14:paraId="47DDB58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Water and Environment</w:t>
            </w:r>
          </w:p>
        </w:tc>
        <w:tc>
          <w:tcPr>
            <w:tcW w:w="5622" w:type="dxa"/>
            <w:tcBorders>
              <w:top w:val="nil"/>
              <w:left w:val="nil"/>
              <w:bottom w:val="single" w:sz="4" w:space="0" w:color="auto"/>
              <w:right w:val="single" w:sz="8" w:space="0" w:color="auto"/>
            </w:tcBorders>
            <w:shd w:val="clear" w:color="auto" w:fill="auto"/>
            <w:vAlign w:val="center"/>
            <w:hideMark/>
          </w:tcPr>
          <w:p w14:paraId="1F8AE01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Collecting and analyzing climate-related water data.</w:t>
            </w:r>
          </w:p>
        </w:tc>
      </w:tr>
      <w:tr w:rsidR="00B96700" w:rsidRPr="00AC0422" w14:paraId="3076F040" w14:textId="77777777" w:rsidTr="00391BF1">
        <w:trPr>
          <w:trHeight w:val="269"/>
        </w:trPr>
        <w:tc>
          <w:tcPr>
            <w:tcW w:w="3959" w:type="dxa"/>
            <w:tcBorders>
              <w:top w:val="nil"/>
              <w:left w:val="single" w:sz="8" w:space="0" w:color="auto"/>
              <w:bottom w:val="single" w:sz="4" w:space="0" w:color="auto"/>
              <w:right w:val="single" w:sz="4" w:space="0" w:color="auto"/>
            </w:tcBorders>
            <w:shd w:val="clear" w:color="auto" w:fill="auto"/>
            <w:vAlign w:val="center"/>
            <w:hideMark/>
          </w:tcPr>
          <w:p w14:paraId="58D6FAD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Agriculture and Irrigation</w:t>
            </w:r>
          </w:p>
        </w:tc>
        <w:tc>
          <w:tcPr>
            <w:tcW w:w="5622" w:type="dxa"/>
            <w:tcBorders>
              <w:top w:val="nil"/>
              <w:left w:val="nil"/>
              <w:bottom w:val="single" w:sz="4" w:space="0" w:color="auto"/>
              <w:right w:val="single" w:sz="8" w:space="0" w:color="auto"/>
            </w:tcBorders>
            <w:shd w:val="clear" w:color="auto" w:fill="auto"/>
            <w:vAlign w:val="center"/>
            <w:hideMark/>
          </w:tcPr>
          <w:p w14:paraId="4A62197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Monitoring climate impacts on agriculture and food security.</w:t>
            </w:r>
          </w:p>
        </w:tc>
      </w:tr>
      <w:tr w:rsidR="00B96700" w:rsidRPr="00AC0422" w14:paraId="60CE72BB" w14:textId="77777777" w:rsidTr="00391BF1">
        <w:trPr>
          <w:trHeight w:val="415"/>
        </w:trPr>
        <w:tc>
          <w:tcPr>
            <w:tcW w:w="3959" w:type="dxa"/>
            <w:tcBorders>
              <w:top w:val="nil"/>
              <w:left w:val="single" w:sz="8" w:space="0" w:color="auto"/>
              <w:bottom w:val="single" w:sz="4" w:space="0" w:color="auto"/>
              <w:right w:val="single" w:sz="4" w:space="0" w:color="auto"/>
            </w:tcBorders>
            <w:shd w:val="clear" w:color="auto" w:fill="auto"/>
            <w:vAlign w:val="center"/>
            <w:hideMark/>
          </w:tcPr>
          <w:p w14:paraId="5DEB85D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Health and Population</w:t>
            </w:r>
          </w:p>
        </w:tc>
        <w:tc>
          <w:tcPr>
            <w:tcW w:w="5622" w:type="dxa"/>
            <w:tcBorders>
              <w:top w:val="nil"/>
              <w:left w:val="nil"/>
              <w:bottom w:val="single" w:sz="4" w:space="0" w:color="auto"/>
              <w:right w:val="single" w:sz="8" w:space="0" w:color="auto"/>
            </w:tcBorders>
            <w:shd w:val="clear" w:color="auto" w:fill="auto"/>
            <w:vAlign w:val="center"/>
            <w:hideMark/>
          </w:tcPr>
          <w:p w14:paraId="2F79701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Tracking climate-sensitive health outcomes and adaptation interventions.</w:t>
            </w:r>
          </w:p>
        </w:tc>
      </w:tr>
      <w:tr w:rsidR="00B96700" w:rsidRPr="00AC0422" w14:paraId="3E07D96E" w14:textId="77777777" w:rsidTr="00391BF1">
        <w:trPr>
          <w:trHeight w:val="337"/>
        </w:trPr>
        <w:tc>
          <w:tcPr>
            <w:tcW w:w="3959" w:type="dxa"/>
            <w:tcBorders>
              <w:top w:val="nil"/>
              <w:left w:val="single" w:sz="8" w:space="0" w:color="auto"/>
              <w:bottom w:val="single" w:sz="4" w:space="0" w:color="auto"/>
              <w:right w:val="single" w:sz="4" w:space="0" w:color="auto"/>
            </w:tcBorders>
            <w:shd w:val="clear" w:color="auto" w:fill="auto"/>
            <w:vAlign w:val="center"/>
            <w:hideMark/>
          </w:tcPr>
          <w:p w14:paraId="6B144F3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Civil Aviation and Meteorology Authority (CAMA)</w:t>
            </w:r>
          </w:p>
        </w:tc>
        <w:tc>
          <w:tcPr>
            <w:tcW w:w="5622" w:type="dxa"/>
            <w:tcBorders>
              <w:top w:val="nil"/>
              <w:left w:val="nil"/>
              <w:bottom w:val="single" w:sz="4" w:space="0" w:color="auto"/>
              <w:right w:val="single" w:sz="8" w:space="0" w:color="auto"/>
            </w:tcBorders>
            <w:shd w:val="clear" w:color="auto" w:fill="auto"/>
            <w:vAlign w:val="center"/>
            <w:hideMark/>
          </w:tcPr>
          <w:p w14:paraId="0530D92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Providing climate data for adaptation M&amp;E.</w:t>
            </w:r>
          </w:p>
        </w:tc>
      </w:tr>
      <w:tr w:rsidR="00B96700" w:rsidRPr="00AC0422" w14:paraId="785B0DAE" w14:textId="77777777" w:rsidTr="00391BF1">
        <w:trPr>
          <w:trHeight w:val="598"/>
        </w:trPr>
        <w:tc>
          <w:tcPr>
            <w:tcW w:w="3959" w:type="dxa"/>
            <w:tcBorders>
              <w:top w:val="nil"/>
              <w:left w:val="single" w:sz="8" w:space="0" w:color="auto"/>
              <w:bottom w:val="single" w:sz="4" w:space="0" w:color="auto"/>
              <w:right w:val="single" w:sz="4" w:space="0" w:color="auto"/>
            </w:tcBorders>
            <w:shd w:val="clear" w:color="auto" w:fill="auto"/>
            <w:vAlign w:val="center"/>
            <w:hideMark/>
          </w:tcPr>
          <w:p w14:paraId="4E2D1B2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Ministry of Planning and International Cooperation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w:t>
            </w:r>
          </w:p>
        </w:tc>
        <w:tc>
          <w:tcPr>
            <w:tcW w:w="5622" w:type="dxa"/>
            <w:tcBorders>
              <w:top w:val="nil"/>
              <w:left w:val="nil"/>
              <w:bottom w:val="single" w:sz="4" w:space="0" w:color="auto"/>
              <w:right w:val="single" w:sz="8" w:space="0" w:color="auto"/>
            </w:tcBorders>
            <w:shd w:val="clear" w:color="auto" w:fill="auto"/>
            <w:vAlign w:val="center"/>
            <w:hideMark/>
          </w:tcPr>
          <w:p w14:paraId="3377072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Integrating adaptation M&amp;E into national development plans.</w:t>
            </w:r>
          </w:p>
        </w:tc>
      </w:tr>
      <w:tr w:rsidR="00B96700" w:rsidRPr="00AC0422" w14:paraId="71776136" w14:textId="77777777" w:rsidTr="00391BF1">
        <w:trPr>
          <w:trHeight w:val="598"/>
        </w:trPr>
        <w:tc>
          <w:tcPr>
            <w:tcW w:w="3959" w:type="dxa"/>
            <w:tcBorders>
              <w:top w:val="nil"/>
              <w:left w:val="single" w:sz="8" w:space="0" w:color="auto"/>
              <w:bottom w:val="single" w:sz="8" w:space="0" w:color="auto"/>
              <w:right w:val="single" w:sz="4" w:space="0" w:color="auto"/>
            </w:tcBorders>
            <w:shd w:val="clear" w:color="auto" w:fill="auto"/>
            <w:vAlign w:val="center"/>
            <w:hideMark/>
          </w:tcPr>
          <w:p w14:paraId="5828BF3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Central Organization for Control and Auditing (COCA)</w:t>
            </w:r>
          </w:p>
        </w:tc>
        <w:tc>
          <w:tcPr>
            <w:tcW w:w="5622" w:type="dxa"/>
            <w:tcBorders>
              <w:top w:val="nil"/>
              <w:left w:val="nil"/>
              <w:bottom w:val="single" w:sz="8" w:space="0" w:color="auto"/>
              <w:right w:val="single" w:sz="8" w:space="0" w:color="auto"/>
            </w:tcBorders>
            <w:shd w:val="clear" w:color="auto" w:fill="auto"/>
            <w:vAlign w:val="center"/>
            <w:hideMark/>
          </w:tcPr>
          <w:p w14:paraId="2E3CE70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Ensuring transparency and accountability in adaptation finance reporting.</w:t>
            </w:r>
          </w:p>
        </w:tc>
      </w:tr>
    </w:tbl>
    <w:p w14:paraId="0BD94FE1" w14:textId="77777777" w:rsidR="00B96700" w:rsidRPr="00AC0422" w:rsidRDefault="00B96700" w:rsidP="00B96700">
      <w:pPr>
        <w:tabs>
          <w:tab w:val="num" w:pos="720"/>
          <w:tab w:val="num" w:pos="1440"/>
        </w:tabs>
        <w:rPr>
          <w:rFonts w:asciiTheme="minorHAnsi" w:hAnsiTheme="minorHAnsi" w:cstheme="minorHAnsi"/>
          <w:szCs w:val="20"/>
          <w:lang w:val="en-GB" w:eastAsia="en-GB"/>
        </w:rPr>
      </w:pPr>
    </w:p>
    <w:p w14:paraId="2ADA1693" w14:textId="77777777" w:rsidR="00B96700" w:rsidRPr="00AC0422" w:rsidRDefault="00B96700" w:rsidP="00B96700">
      <w:pPr>
        <w:spacing w:after="120"/>
        <w:ind w:right="-28"/>
        <w:rPr>
          <w:rFonts w:asciiTheme="minorHAnsi" w:hAnsiTheme="minorHAnsi" w:cstheme="minorHAnsi"/>
          <w:b/>
          <w:bCs/>
          <w:szCs w:val="20"/>
          <w:lang w:eastAsia="en-GB"/>
        </w:rPr>
      </w:pPr>
      <w:r w:rsidRPr="00AC0422">
        <w:rPr>
          <w:rFonts w:asciiTheme="minorHAnsi" w:hAnsiTheme="minorHAnsi" w:cstheme="minorHAnsi"/>
          <w:b/>
          <w:bCs/>
          <w:szCs w:val="20"/>
          <w:lang w:eastAsia="en-GB"/>
        </w:rPr>
        <w:t>Output 3.2.2: Studies on climate vulnerability, and identification of adaptation solutions conducted (and used) for strengthening adaptation investment</w:t>
      </w:r>
    </w:p>
    <w:p w14:paraId="0BA0C2D9" w14:textId="77777777" w:rsidR="00B96700" w:rsidRPr="00AC0422" w:rsidRDefault="00B96700" w:rsidP="00B96700">
      <w:pPr>
        <w:spacing w:after="120"/>
        <w:ind w:right="-29"/>
        <w:rPr>
          <w:rFonts w:asciiTheme="minorHAnsi" w:hAnsiTheme="minorHAnsi" w:cstheme="minorHAnsi"/>
          <w:b/>
          <w:szCs w:val="20"/>
        </w:rPr>
      </w:pPr>
      <w:r w:rsidRPr="00AC0422">
        <w:rPr>
          <w:rFonts w:asciiTheme="minorHAnsi" w:hAnsiTheme="minorHAnsi" w:cstheme="minorHAnsi"/>
          <w:b/>
          <w:szCs w:val="20"/>
        </w:rPr>
        <w:t>Activity 3.2.2.1: Assess Climate risk and vulnerability of 4 priority sectors and produce CRVA, conflict-sensitivity assessments and hazard maps for 4 pilot catchments.</w:t>
      </w:r>
    </w:p>
    <w:p w14:paraId="315FB036" w14:textId="77777777" w:rsidR="00B96700" w:rsidRPr="00AC0422" w:rsidRDefault="00B96700" w:rsidP="00B96700">
      <w:pPr>
        <w:spacing w:after="120"/>
        <w:ind w:right="-28"/>
        <w:rPr>
          <w:rFonts w:asciiTheme="minorHAnsi" w:hAnsiTheme="minorHAnsi" w:cstheme="minorHAnsi"/>
          <w:i/>
          <w:iCs/>
          <w:szCs w:val="20"/>
          <w:u w:val="single"/>
          <w:lang w:eastAsia="en-GB"/>
        </w:rPr>
      </w:pPr>
      <w:bookmarkStart w:id="24" w:name="_Hlk189689674"/>
      <w:r w:rsidRPr="00AC0422">
        <w:rPr>
          <w:rFonts w:asciiTheme="minorHAnsi" w:hAnsiTheme="minorHAnsi" w:cstheme="minorHAnsi"/>
          <w:i/>
          <w:iCs/>
          <w:szCs w:val="20"/>
          <w:u w:val="single"/>
          <w:lang w:eastAsia="en-GB"/>
        </w:rPr>
        <w:t xml:space="preserve">Activity 3.2.2.1a: Workshops with climate analysis experts and relevant stakeholders from the climate information cluster to produce downscaled climate projections for four pilot catchments representative of the various ecoregions of Yemen (Abyan delta, wadi </w:t>
      </w:r>
      <w:proofErr w:type="spellStart"/>
      <w:r w:rsidRPr="00AC0422">
        <w:rPr>
          <w:rFonts w:asciiTheme="minorHAnsi" w:hAnsiTheme="minorHAnsi" w:cstheme="minorHAnsi"/>
          <w:i/>
          <w:iCs/>
          <w:szCs w:val="20"/>
          <w:u w:val="single"/>
          <w:lang w:eastAsia="en-GB"/>
        </w:rPr>
        <w:t>Rasyan</w:t>
      </w:r>
      <w:proofErr w:type="spellEnd"/>
      <w:r w:rsidRPr="00AC0422">
        <w:rPr>
          <w:rFonts w:asciiTheme="minorHAnsi" w:hAnsiTheme="minorHAnsi" w:cstheme="minorHAnsi"/>
          <w:i/>
          <w:iCs/>
          <w:szCs w:val="20"/>
          <w:u w:val="single"/>
          <w:lang w:eastAsia="en-GB"/>
        </w:rPr>
        <w:t xml:space="preserve">, wadi </w:t>
      </w:r>
      <w:proofErr w:type="spellStart"/>
      <w:r w:rsidRPr="00AC0422">
        <w:rPr>
          <w:rFonts w:asciiTheme="minorHAnsi" w:hAnsiTheme="minorHAnsi" w:cstheme="minorHAnsi"/>
          <w:i/>
          <w:iCs/>
          <w:szCs w:val="20"/>
          <w:u w:val="single"/>
          <w:lang w:eastAsia="en-GB"/>
        </w:rPr>
        <w:t>Seham</w:t>
      </w:r>
      <w:proofErr w:type="spellEnd"/>
      <w:r w:rsidRPr="00AC0422">
        <w:rPr>
          <w:rFonts w:asciiTheme="minorHAnsi" w:hAnsiTheme="minorHAnsi" w:cstheme="minorHAnsi"/>
          <w:i/>
          <w:iCs/>
          <w:szCs w:val="20"/>
          <w:u w:val="single"/>
          <w:lang w:eastAsia="en-GB"/>
        </w:rPr>
        <w:t xml:space="preserve"> and wadi Hadramawt). </w:t>
      </w:r>
    </w:p>
    <w:bookmarkEnd w:id="24"/>
    <w:p w14:paraId="3EF7D5FE"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Key participants, including climate analysis experts, hydrologists, local authorities, and stakeholders from the climate information cluster will be invited to be trained in climate projects downscaling for Yemen. </w:t>
      </w:r>
    </w:p>
    <w:p w14:paraId="44D94AF6"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The project will support the preparation of technical materials on downscaling methodologies and tools (e.g., statistical and dynamical downscaling) and the compilation and analysis of existing climate data and reports for the pilot catchments: Abyan delta, Wadi </w:t>
      </w:r>
      <w:proofErr w:type="spellStart"/>
      <w:r w:rsidRPr="00AC0422">
        <w:rPr>
          <w:rFonts w:asciiTheme="minorHAnsi" w:hAnsiTheme="minorHAnsi" w:cstheme="minorHAnsi"/>
          <w:szCs w:val="20"/>
          <w:lang w:eastAsia="en-GB"/>
        </w:rPr>
        <w:t>Rasyan</w:t>
      </w:r>
      <w:proofErr w:type="spellEnd"/>
      <w:r w:rsidRPr="00AC0422">
        <w:rPr>
          <w:rFonts w:asciiTheme="minorHAnsi" w:hAnsiTheme="minorHAnsi" w:cstheme="minorHAnsi"/>
          <w:szCs w:val="20"/>
          <w:lang w:eastAsia="en-GB"/>
        </w:rPr>
        <w:t xml:space="preserve">, Wadi </w:t>
      </w:r>
      <w:proofErr w:type="spellStart"/>
      <w:r w:rsidRPr="00AC0422">
        <w:rPr>
          <w:rFonts w:asciiTheme="minorHAnsi" w:hAnsiTheme="minorHAnsi" w:cstheme="minorHAnsi"/>
          <w:szCs w:val="20"/>
          <w:lang w:eastAsia="en-GB"/>
        </w:rPr>
        <w:t>Seham</w:t>
      </w:r>
      <w:proofErr w:type="spellEnd"/>
      <w:r w:rsidRPr="00AC0422">
        <w:rPr>
          <w:rFonts w:asciiTheme="minorHAnsi" w:hAnsiTheme="minorHAnsi" w:cstheme="minorHAnsi"/>
          <w:szCs w:val="20"/>
          <w:lang w:eastAsia="en-GB"/>
        </w:rPr>
        <w:t xml:space="preserve">, and Wadi Hadramawt. Given Yemen’s diverse climatic conditions, topographical variability, and significant data limitations, the selection of these four pilot catchments for climate change model downscaling and climate risk and vulnerability studies provides a strategic and practical approach to understanding localized climate impacts and informing national adaptation planning. Yemen's climate risks, including droughts, floods, flash floods, rising temperatures, and coastal erosion, vary significantly across different eco-regions. </w:t>
      </w:r>
    </w:p>
    <w:p w14:paraId="5F1DA977"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The pilot catchments—Abyan Delta, Wadi </w:t>
      </w:r>
      <w:proofErr w:type="spellStart"/>
      <w:r w:rsidRPr="00AC0422">
        <w:rPr>
          <w:rFonts w:asciiTheme="minorHAnsi" w:hAnsiTheme="minorHAnsi" w:cstheme="minorHAnsi"/>
          <w:szCs w:val="20"/>
          <w:lang w:eastAsia="en-GB"/>
        </w:rPr>
        <w:t>Rasyan</w:t>
      </w:r>
      <w:proofErr w:type="spellEnd"/>
      <w:r w:rsidRPr="00AC0422">
        <w:rPr>
          <w:rFonts w:asciiTheme="minorHAnsi" w:hAnsiTheme="minorHAnsi" w:cstheme="minorHAnsi"/>
          <w:szCs w:val="20"/>
          <w:lang w:eastAsia="en-GB"/>
        </w:rPr>
        <w:t xml:space="preserve">, Wadi </w:t>
      </w:r>
      <w:proofErr w:type="spellStart"/>
      <w:r w:rsidRPr="00AC0422">
        <w:rPr>
          <w:rFonts w:asciiTheme="minorHAnsi" w:hAnsiTheme="minorHAnsi" w:cstheme="minorHAnsi"/>
          <w:szCs w:val="20"/>
          <w:lang w:eastAsia="en-GB"/>
        </w:rPr>
        <w:t>Seham</w:t>
      </w:r>
      <w:proofErr w:type="spellEnd"/>
      <w:r w:rsidRPr="00AC0422">
        <w:rPr>
          <w:rFonts w:asciiTheme="minorHAnsi" w:hAnsiTheme="minorHAnsi" w:cstheme="minorHAnsi"/>
          <w:szCs w:val="20"/>
          <w:lang w:eastAsia="en-GB"/>
        </w:rPr>
        <w:t xml:space="preserve">, and Wadi Hadramawt—represent Yemen’s key hydrological and ecological zones, covering coastal, arid, and semi-arid areas with distinct water resource challenges, and will ensure that the risk and vulnerability studies reflect the full spectrum of climate hazards Yemen faces. </w:t>
      </w:r>
    </w:p>
    <w:p w14:paraId="0FFB1BDE" w14:textId="77777777" w:rsidR="00B96700" w:rsidRPr="00AC0422" w:rsidRDefault="00B96700" w:rsidP="00B96700">
      <w:pPr>
        <w:spacing w:after="120"/>
        <w:ind w:right="-28"/>
        <w:rPr>
          <w:rFonts w:asciiTheme="minorHAnsi" w:hAnsiTheme="minorHAnsi" w:cstheme="minorHAnsi"/>
          <w:szCs w:val="20"/>
          <w:lang w:eastAsia="en-GB"/>
        </w:rPr>
      </w:pPr>
    </w:p>
    <w:p w14:paraId="2F68BAC3" w14:textId="77777777" w:rsidR="00B96700" w:rsidRPr="00AC0422" w:rsidRDefault="00B96700" w:rsidP="005D2C02">
      <w:pPr>
        <w:pStyle w:val="ListParagraph"/>
        <w:numPr>
          <w:ilvl w:val="0"/>
          <w:numId w:val="24"/>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i/>
          <w:iCs/>
          <w:sz w:val="20"/>
          <w:szCs w:val="20"/>
          <w:lang w:eastAsia="en-GB"/>
        </w:rPr>
        <w:t>Abyan Delta (Coastal Zone):</w:t>
      </w:r>
      <w:r w:rsidRPr="00AC0422">
        <w:rPr>
          <w:rFonts w:asciiTheme="minorHAnsi" w:hAnsiTheme="minorHAnsi" w:cstheme="minorHAnsi"/>
          <w:sz w:val="20"/>
          <w:szCs w:val="20"/>
          <w:lang w:eastAsia="en-GB"/>
        </w:rPr>
        <w:t xml:space="preserve"> Represents low-lying coastal areas vulnerable to sea-level rise, storm surges, and saltwater intrusion.</w:t>
      </w:r>
    </w:p>
    <w:p w14:paraId="5FD19DA2" w14:textId="77777777" w:rsidR="00B96700" w:rsidRPr="00AC0422" w:rsidRDefault="00B96700" w:rsidP="005D2C02">
      <w:pPr>
        <w:pStyle w:val="ListParagraph"/>
        <w:numPr>
          <w:ilvl w:val="0"/>
          <w:numId w:val="24"/>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i/>
          <w:iCs/>
          <w:sz w:val="20"/>
          <w:szCs w:val="20"/>
          <w:lang w:eastAsia="en-GB"/>
        </w:rPr>
        <w:t xml:space="preserve">Wadi </w:t>
      </w:r>
      <w:proofErr w:type="spellStart"/>
      <w:r w:rsidRPr="00AC0422">
        <w:rPr>
          <w:rFonts w:asciiTheme="minorHAnsi" w:hAnsiTheme="minorHAnsi" w:cstheme="minorHAnsi"/>
          <w:i/>
          <w:iCs/>
          <w:sz w:val="20"/>
          <w:szCs w:val="20"/>
          <w:lang w:eastAsia="en-GB"/>
        </w:rPr>
        <w:t>Rasyan</w:t>
      </w:r>
      <w:proofErr w:type="spellEnd"/>
      <w:r w:rsidRPr="00AC0422">
        <w:rPr>
          <w:rFonts w:asciiTheme="minorHAnsi" w:hAnsiTheme="minorHAnsi" w:cstheme="minorHAnsi"/>
          <w:i/>
          <w:iCs/>
          <w:sz w:val="20"/>
          <w:szCs w:val="20"/>
          <w:lang w:eastAsia="en-GB"/>
        </w:rPr>
        <w:t xml:space="preserve"> (Highland Catchment):</w:t>
      </w:r>
      <w:r w:rsidRPr="00AC0422">
        <w:rPr>
          <w:rFonts w:asciiTheme="minorHAnsi" w:hAnsiTheme="minorHAnsi" w:cstheme="minorHAnsi"/>
          <w:sz w:val="20"/>
          <w:szCs w:val="20"/>
          <w:lang w:eastAsia="en-GB"/>
        </w:rPr>
        <w:t xml:space="preserve"> Captures mountainous and highland ecosystems where flash flooding is a key concern.</w:t>
      </w:r>
    </w:p>
    <w:p w14:paraId="0799450B" w14:textId="77777777" w:rsidR="00B96700" w:rsidRPr="00AC0422" w:rsidRDefault="00B96700" w:rsidP="005D2C02">
      <w:pPr>
        <w:pStyle w:val="ListParagraph"/>
        <w:numPr>
          <w:ilvl w:val="0"/>
          <w:numId w:val="24"/>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i/>
          <w:iCs/>
          <w:sz w:val="20"/>
          <w:szCs w:val="20"/>
          <w:lang w:eastAsia="en-GB"/>
        </w:rPr>
        <w:t xml:space="preserve">Wadi </w:t>
      </w:r>
      <w:proofErr w:type="spellStart"/>
      <w:r w:rsidRPr="00AC0422">
        <w:rPr>
          <w:rFonts w:asciiTheme="minorHAnsi" w:hAnsiTheme="minorHAnsi" w:cstheme="minorHAnsi"/>
          <w:i/>
          <w:iCs/>
          <w:sz w:val="20"/>
          <w:szCs w:val="20"/>
          <w:lang w:eastAsia="en-GB"/>
        </w:rPr>
        <w:t>Seham</w:t>
      </w:r>
      <w:proofErr w:type="spellEnd"/>
      <w:r w:rsidRPr="00AC0422">
        <w:rPr>
          <w:rFonts w:asciiTheme="minorHAnsi" w:hAnsiTheme="minorHAnsi" w:cstheme="minorHAnsi"/>
          <w:i/>
          <w:iCs/>
          <w:sz w:val="20"/>
          <w:szCs w:val="20"/>
          <w:lang w:eastAsia="en-GB"/>
        </w:rPr>
        <w:t xml:space="preserve"> (Agricultural and Semi-Arid Region):</w:t>
      </w:r>
      <w:r w:rsidRPr="00AC0422">
        <w:rPr>
          <w:rFonts w:asciiTheme="minorHAnsi" w:hAnsiTheme="minorHAnsi" w:cstheme="minorHAnsi"/>
          <w:sz w:val="20"/>
          <w:szCs w:val="20"/>
          <w:lang w:eastAsia="en-GB"/>
        </w:rPr>
        <w:t xml:space="preserve"> Reflects agriculture-dependent areas where droughts and water shortages impact food security.</w:t>
      </w:r>
    </w:p>
    <w:p w14:paraId="1DFA6DC5" w14:textId="77777777" w:rsidR="00B96700" w:rsidRPr="00AC0422" w:rsidRDefault="00B96700" w:rsidP="005D2C02">
      <w:pPr>
        <w:pStyle w:val="ListParagraph"/>
        <w:numPr>
          <w:ilvl w:val="0"/>
          <w:numId w:val="24"/>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i/>
          <w:iCs/>
          <w:sz w:val="20"/>
          <w:szCs w:val="20"/>
          <w:lang w:eastAsia="en-GB"/>
        </w:rPr>
        <w:t>Wadi Hadramawt (Desert and Arid Zone):</w:t>
      </w:r>
      <w:r w:rsidRPr="00AC0422">
        <w:rPr>
          <w:rFonts w:asciiTheme="minorHAnsi" w:hAnsiTheme="minorHAnsi" w:cstheme="minorHAnsi"/>
          <w:sz w:val="20"/>
          <w:szCs w:val="20"/>
          <w:lang w:eastAsia="en-GB"/>
        </w:rPr>
        <w:t xml:space="preserve"> Represents dryland regions prone to extreme heat, desertification, and water scarcity.</w:t>
      </w:r>
    </w:p>
    <w:p w14:paraId="2B51EFF1"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An estimated 38.8% of Yemen’s total population (approximately 12.8 million people) live within the four selected pilot catchments (Abyan Delta, Wadi </w:t>
      </w:r>
      <w:proofErr w:type="spellStart"/>
      <w:r w:rsidRPr="00AC0422">
        <w:rPr>
          <w:rFonts w:asciiTheme="minorHAnsi" w:hAnsiTheme="minorHAnsi" w:cstheme="minorHAnsi"/>
          <w:szCs w:val="20"/>
          <w:lang w:eastAsia="en-GB"/>
        </w:rPr>
        <w:t>Rasyan</w:t>
      </w:r>
      <w:proofErr w:type="spellEnd"/>
      <w:r w:rsidRPr="00AC0422">
        <w:rPr>
          <w:rFonts w:asciiTheme="minorHAnsi" w:hAnsiTheme="minorHAnsi" w:cstheme="minorHAnsi"/>
          <w:szCs w:val="20"/>
          <w:lang w:eastAsia="en-GB"/>
        </w:rPr>
        <w:t xml:space="preserve">, Wadi </w:t>
      </w:r>
      <w:proofErr w:type="spellStart"/>
      <w:r w:rsidRPr="00AC0422">
        <w:rPr>
          <w:rFonts w:asciiTheme="minorHAnsi" w:hAnsiTheme="minorHAnsi" w:cstheme="minorHAnsi"/>
          <w:szCs w:val="20"/>
          <w:lang w:eastAsia="en-GB"/>
        </w:rPr>
        <w:t>Seham</w:t>
      </w:r>
      <w:proofErr w:type="spellEnd"/>
      <w:r w:rsidRPr="00AC0422">
        <w:rPr>
          <w:rFonts w:asciiTheme="minorHAnsi" w:hAnsiTheme="minorHAnsi" w:cstheme="minorHAnsi"/>
          <w:szCs w:val="20"/>
          <w:lang w:eastAsia="en-GB"/>
        </w:rPr>
        <w:t xml:space="preserve">, and Wadi Hadramawt). These areas include densely populated regions such as Taiz, </w:t>
      </w:r>
      <w:proofErr w:type="spellStart"/>
      <w:r w:rsidRPr="00AC0422">
        <w:rPr>
          <w:rFonts w:asciiTheme="minorHAnsi" w:hAnsiTheme="minorHAnsi" w:cstheme="minorHAnsi"/>
          <w:szCs w:val="20"/>
          <w:lang w:eastAsia="en-GB"/>
        </w:rPr>
        <w:t>Ibb</w:t>
      </w:r>
      <w:proofErr w:type="spellEnd"/>
      <w:r w:rsidRPr="00AC0422">
        <w:rPr>
          <w:rFonts w:asciiTheme="minorHAnsi" w:hAnsiTheme="minorHAnsi" w:cstheme="minorHAnsi"/>
          <w:szCs w:val="20"/>
          <w:lang w:eastAsia="en-GB"/>
        </w:rPr>
        <w:t xml:space="preserve">, and </w:t>
      </w:r>
      <w:proofErr w:type="spellStart"/>
      <w:r w:rsidRPr="00AC0422">
        <w:rPr>
          <w:rFonts w:asciiTheme="minorHAnsi" w:hAnsiTheme="minorHAnsi" w:cstheme="minorHAnsi"/>
          <w:szCs w:val="20"/>
          <w:lang w:eastAsia="en-GB"/>
        </w:rPr>
        <w:t>Hodeidah</w:t>
      </w:r>
      <w:proofErr w:type="spellEnd"/>
      <w:r w:rsidRPr="00AC0422">
        <w:rPr>
          <w:rFonts w:asciiTheme="minorHAnsi" w:hAnsiTheme="minorHAnsi" w:cstheme="minorHAnsi"/>
          <w:szCs w:val="20"/>
          <w:lang w:eastAsia="en-GB"/>
        </w:rPr>
        <w:t xml:space="preserve">, as well as important agricultural and coastal communities. </w:t>
      </w:r>
      <w:r w:rsidRPr="00AC0422">
        <w:rPr>
          <w:rFonts w:asciiTheme="minorHAnsi" w:hAnsiTheme="minorHAnsi" w:cstheme="minorHAnsi"/>
          <w:szCs w:val="20"/>
          <w:lang w:eastAsia="en-GB"/>
        </w:rPr>
        <w:lastRenderedPageBreak/>
        <w:t>Collectively, the four pilot eco-regions account for nearly 100% of Yemen’s climate hazards. Coastal Hazards (Cyclones, Coastal Erosion, Flooding): 35%; Highland Hazards (Flash Floods, Landslides, Rainfall Variability): 30%; Semi-Arid Hazards (Droughts, Agricultural Losses): 20%; Desert Hazards (Heatwaves, Desertification, Water Scarcity): 15%.</w:t>
      </w:r>
    </w:p>
    <w:p w14:paraId="016EAE12"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Yemen suffers from a lack of historical climate data, sparse meteorological networks, and minimal localized climate projections, which makes it difficult to conduct a comprehensive national risk assessment without piloting targeted regional studies first. The findings from these pilot downscaling studies will provide baseline climate data for each eco-region which will allow for testing and refining downscaling methodologies before applying them nationwide. Hence, the pilot catchments will help fill data gaps through, downscaled climate models tailored to specific eco-regions, utilization of satellite and remote sensing data where ground-based measurements are unavailable, combining global climate models (GCMs) with localized observations (where they exist) to improve accuracy, and application of statistical techniques to reconstruct historical climate trends. </w:t>
      </w:r>
    </w:p>
    <w:p w14:paraId="0E18A0E3"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The project will conduct technical sessions on downscaling methodologies and best practices, facilitate collaborative exercises, and apply downscaling techniques using regional climate models (RCMs) or global climate models (GCMs), and historical data, to develop downscaled climate projections for each pilot catchment. . The activity will develop local expertise in advanced downscaling techniques, climate</w:t>
      </w:r>
      <w:r w:rsidRPr="00AC0422">
        <w:rPr>
          <w:rFonts w:asciiTheme="minorHAnsi" w:hAnsiTheme="minorHAnsi" w:cstheme="minorHAnsi"/>
          <w:szCs w:val="20"/>
          <w:lang w:val="en-GB" w:eastAsia="en-GB"/>
        </w:rPr>
        <w:t xml:space="preserve"> modelling, and the use of advanced data analysis and data modelling techniques and tools (e.g. open-source tools such as R, Python, and GIS platforms).  Importantly the downscaling exercise will provide climate projection parameters at the appropriate resolution for use in developing climate hazard, risk, and vulnerability modelling and mapping, and undertaking comprehensive risk and vulnerability assessments. </w:t>
      </w:r>
      <w:r w:rsidRPr="00AC0422">
        <w:rPr>
          <w:rFonts w:asciiTheme="minorHAnsi" w:hAnsiTheme="minorHAnsi" w:cstheme="minorHAnsi"/>
          <w:szCs w:val="20"/>
          <w:lang w:eastAsia="en-GB"/>
        </w:rPr>
        <w:t>Outputs of the downscaling exercise will be shared with relevant stakeholders for validation and further refinement. The activity will be achieved through the following sub-activities:</w:t>
      </w:r>
    </w:p>
    <w:p w14:paraId="61E0EEB8" w14:textId="77777777" w:rsidR="00B96700" w:rsidRPr="00AC0422" w:rsidRDefault="00B96700" w:rsidP="00B96700">
      <w:pPr>
        <w:spacing w:after="120"/>
        <w:ind w:right="-28"/>
        <w:rPr>
          <w:rFonts w:asciiTheme="minorHAnsi" w:hAnsiTheme="minorHAnsi" w:cstheme="minorHAnsi"/>
          <w:b/>
          <w:bCs/>
          <w:szCs w:val="20"/>
          <w:lang w:eastAsia="en-GB"/>
        </w:rPr>
      </w:pPr>
      <w:r w:rsidRPr="00AC0422">
        <w:rPr>
          <w:rFonts w:asciiTheme="minorHAnsi" w:hAnsiTheme="minorHAnsi" w:cstheme="minorHAnsi"/>
          <w:b/>
          <w:bCs/>
          <w:szCs w:val="20"/>
          <w:lang w:eastAsia="en-GB"/>
        </w:rPr>
        <w:t>Stakeholder Meeting on Climate Projection Downscaling Needs and Data Gaps</w:t>
      </w:r>
    </w:p>
    <w:p w14:paraId="0D32EE6A"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This meeting will bring together key national and regional stakeholders to discuss Yemen’s climate data challenges, downscaling needs, and data procurement requirements. The session, which will be 3-days in duration, will introduce the methodologies and available resources for climate projections downscaling. Topics to be covered include: </w:t>
      </w:r>
    </w:p>
    <w:p w14:paraId="75F1010B" w14:textId="77777777" w:rsidR="00B96700" w:rsidRPr="00AC0422" w:rsidRDefault="00B96700" w:rsidP="005D2C02">
      <w:pPr>
        <w:pStyle w:val="ListParagraph"/>
        <w:numPr>
          <w:ilvl w:val="0"/>
          <w:numId w:val="70"/>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Overview of Climate Projection Needs for Yemen’s NAP Process</w:t>
      </w:r>
    </w:p>
    <w:p w14:paraId="39C1E71A" w14:textId="77777777" w:rsidR="00B96700" w:rsidRPr="00AC0422" w:rsidRDefault="00B96700" w:rsidP="005D2C02">
      <w:pPr>
        <w:pStyle w:val="ListParagraph"/>
        <w:numPr>
          <w:ilvl w:val="0"/>
          <w:numId w:val="70"/>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Current Data Availability and Gaps in Meteorological and Hydrological Data</w:t>
      </w:r>
    </w:p>
    <w:p w14:paraId="5ECB9DB2" w14:textId="77777777" w:rsidR="00B96700" w:rsidRPr="00AC0422" w:rsidRDefault="00B96700" w:rsidP="005D2C02">
      <w:pPr>
        <w:pStyle w:val="ListParagraph"/>
        <w:numPr>
          <w:ilvl w:val="0"/>
          <w:numId w:val="70"/>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Challenges in Climate Projection Downscaling for Yemen (Conflict, Data Scarcity, Regional Climate Models)</w:t>
      </w:r>
    </w:p>
    <w:p w14:paraId="446D99EB" w14:textId="77777777" w:rsidR="00B96700" w:rsidRPr="00AC0422" w:rsidRDefault="00B96700" w:rsidP="005D2C02">
      <w:pPr>
        <w:pStyle w:val="ListParagraph"/>
        <w:numPr>
          <w:ilvl w:val="0"/>
          <w:numId w:val="70"/>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Overview of Downscaling Techniques: Statistical vs. Dynamical Downscaling</w:t>
      </w:r>
    </w:p>
    <w:p w14:paraId="3BB6A78F" w14:textId="77777777" w:rsidR="00B96700" w:rsidRPr="00AC0422" w:rsidRDefault="00B96700" w:rsidP="005D2C02">
      <w:pPr>
        <w:pStyle w:val="ListParagraph"/>
        <w:numPr>
          <w:ilvl w:val="0"/>
          <w:numId w:val="70"/>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Potential Data Sources (Regional Climate Models, Reanalysis Datasets, Satellite-Based Observations, Proxy Data, Historical Data Reconstruction)</w:t>
      </w:r>
    </w:p>
    <w:p w14:paraId="6946F4F5" w14:textId="77777777" w:rsidR="00B96700" w:rsidRPr="00AC0422" w:rsidRDefault="00B96700" w:rsidP="005D2C02">
      <w:pPr>
        <w:pStyle w:val="ListParagraph"/>
        <w:numPr>
          <w:ilvl w:val="0"/>
          <w:numId w:val="70"/>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Collaboration Opportunities for Data Procurement and Knowledge Sharing</w:t>
      </w:r>
    </w:p>
    <w:p w14:paraId="62305D4D" w14:textId="77777777" w:rsidR="00B96700" w:rsidRPr="00AC0422" w:rsidRDefault="00B96700" w:rsidP="005D2C02">
      <w:pPr>
        <w:pStyle w:val="ListParagraph"/>
        <w:numPr>
          <w:ilvl w:val="0"/>
          <w:numId w:val="70"/>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Next Steps for Climate Projection Development and Stakeholder Engagement</w:t>
      </w:r>
    </w:p>
    <w:p w14:paraId="74784E4D" w14:textId="77777777" w:rsidR="00B96700" w:rsidRPr="00AC0422" w:rsidRDefault="00B96700" w:rsidP="00B96700">
      <w:pPr>
        <w:spacing w:after="120"/>
        <w:ind w:right="-28"/>
        <w:rPr>
          <w:rFonts w:asciiTheme="minorHAnsi" w:hAnsiTheme="minorHAnsi" w:cstheme="minorHAnsi"/>
          <w:szCs w:val="20"/>
          <w:lang w:eastAsia="en-GB"/>
        </w:rPr>
      </w:pPr>
    </w:p>
    <w:p w14:paraId="4660DF6D"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15</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Targeted stakeholders and estimated Number of Participants (with Gender Targets)</w:t>
      </w:r>
    </w:p>
    <w:tbl>
      <w:tblP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9"/>
        <w:gridCol w:w="2435"/>
        <w:gridCol w:w="3056"/>
      </w:tblGrid>
      <w:tr w:rsidR="00B96700" w:rsidRPr="00AC0422" w14:paraId="24C15507" w14:textId="77777777" w:rsidTr="00391BF1">
        <w:trPr>
          <w:trHeight w:val="282"/>
        </w:trPr>
        <w:tc>
          <w:tcPr>
            <w:tcW w:w="3409" w:type="dxa"/>
            <w:shd w:val="clear" w:color="auto" w:fill="auto"/>
            <w:vAlign w:val="center"/>
            <w:hideMark/>
          </w:tcPr>
          <w:p w14:paraId="0D683164"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Stakeholder Group</w:t>
            </w:r>
          </w:p>
        </w:tc>
        <w:tc>
          <w:tcPr>
            <w:tcW w:w="2435" w:type="dxa"/>
            <w:shd w:val="clear" w:color="auto" w:fill="auto"/>
            <w:vAlign w:val="center"/>
            <w:hideMark/>
          </w:tcPr>
          <w:p w14:paraId="713B862B"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Estimated Participants</w:t>
            </w:r>
          </w:p>
        </w:tc>
        <w:tc>
          <w:tcPr>
            <w:tcW w:w="3056" w:type="dxa"/>
            <w:shd w:val="clear" w:color="auto" w:fill="auto"/>
            <w:vAlign w:val="center"/>
            <w:hideMark/>
          </w:tcPr>
          <w:p w14:paraId="13970C58"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Gender Target (%)</w:t>
            </w:r>
          </w:p>
        </w:tc>
      </w:tr>
      <w:tr w:rsidR="00B96700" w:rsidRPr="00AC0422" w14:paraId="2ED2430A" w14:textId="77777777" w:rsidTr="00391BF1">
        <w:trPr>
          <w:trHeight w:val="282"/>
        </w:trPr>
        <w:tc>
          <w:tcPr>
            <w:tcW w:w="3409" w:type="dxa"/>
            <w:shd w:val="clear" w:color="auto" w:fill="auto"/>
            <w:vAlign w:val="center"/>
            <w:hideMark/>
          </w:tcPr>
          <w:p w14:paraId="27E7A4D8"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 xml:space="preserve">Government Agencies (EPA, CAMA,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DRMU)</w:t>
            </w:r>
          </w:p>
        </w:tc>
        <w:tc>
          <w:tcPr>
            <w:tcW w:w="2435" w:type="dxa"/>
            <w:shd w:val="clear" w:color="auto" w:fill="auto"/>
            <w:vAlign w:val="center"/>
            <w:hideMark/>
          </w:tcPr>
          <w:p w14:paraId="7CABA7E4"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3056" w:type="dxa"/>
            <w:shd w:val="clear" w:color="auto" w:fill="auto"/>
            <w:vAlign w:val="center"/>
            <w:hideMark/>
          </w:tcPr>
          <w:p w14:paraId="6054C339"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r>
      <w:tr w:rsidR="00B96700" w:rsidRPr="00AC0422" w14:paraId="5E4060E5" w14:textId="77777777" w:rsidTr="00391BF1">
        <w:trPr>
          <w:trHeight w:val="282"/>
        </w:trPr>
        <w:tc>
          <w:tcPr>
            <w:tcW w:w="3409" w:type="dxa"/>
            <w:shd w:val="clear" w:color="auto" w:fill="auto"/>
            <w:vAlign w:val="center"/>
            <w:hideMark/>
          </w:tcPr>
          <w:p w14:paraId="5362AE99"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Academia and Research Institutions</w:t>
            </w:r>
          </w:p>
        </w:tc>
        <w:tc>
          <w:tcPr>
            <w:tcW w:w="2435" w:type="dxa"/>
            <w:shd w:val="clear" w:color="auto" w:fill="auto"/>
            <w:vAlign w:val="center"/>
            <w:hideMark/>
          </w:tcPr>
          <w:p w14:paraId="0BD106DE"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056" w:type="dxa"/>
            <w:shd w:val="clear" w:color="auto" w:fill="auto"/>
            <w:vAlign w:val="center"/>
            <w:hideMark/>
          </w:tcPr>
          <w:p w14:paraId="6D01199C"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71C26B74" w14:textId="77777777" w:rsidTr="00391BF1">
        <w:trPr>
          <w:trHeight w:val="282"/>
        </w:trPr>
        <w:tc>
          <w:tcPr>
            <w:tcW w:w="3409" w:type="dxa"/>
            <w:shd w:val="clear" w:color="auto" w:fill="auto"/>
            <w:vAlign w:val="center"/>
            <w:hideMark/>
          </w:tcPr>
          <w:p w14:paraId="66D20855"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International Development Partners (UNDP, FAO, WMO, GCF, GEF, WB)</w:t>
            </w:r>
          </w:p>
        </w:tc>
        <w:tc>
          <w:tcPr>
            <w:tcW w:w="2435" w:type="dxa"/>
            <w:shd w:val="clear" w:color="auto" w:fill="auto"/>
            <w:vAlign w:val="center"/>
            <w:hideMark/>
          </w:tcPr>
          <w:p w14:paraId="2296883C"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056" w:type="dxa"/>
            <w:shd w:val="clear" w:color="auto" w:fill="auto"/>
            <w:vAlign w:val="center"/>
            <w:hideMark/>
          </w:tcPr>
          <w:p w14:paraId="03F53A18"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46A4A5B9" w14:textId="77777777" w:rsidTr="00391BF1">
        <w:trPr>
          <w:trHeight w:val="282"/>
        </w:trPr>
        <w:tc>
          <w:tcPr>
            <w:tcW w:w="3409" w:type="dxa"/>
            <w:shd w:val="clear" w:color="auto" w:fill="auto"/>
            <w:vAlign w:val="center"/>
            <w:hideMark/>
          </w:tcPr>
          <w:p w14:paraId="4AA13EF2"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CSOs and NGOs working on Climate Data and Adaptation</w:t>
            </w:r>
          </w:p>
        </w:tc>
        <w:tc>
          <w:tcPr>
            <w:tcW w:w="2435" w:type="dxa"/>
            <w:shd w:val="clear" w:color="auto" w:fill="auto"/>
            <w:vAlign w:val="center"/>
            <w:hideMark/>
          </w:tcPr>
          <w:p w14:paraId="26F8A2DB"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056" w:type="dxa"/>
            <w:shd w:val="clear" w:color="auto" w:fill="auto"/>
            <w:vAlign w:val="center"/>
            <w:hideMark/>
          </w:tcPr>
          <w:p w14:paraId="2B8C7657"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40% Men, 60% Women</w:t>
            </w:r>
          </w:p>
        </w:tc>
      </w:tr>
      <w:tr w:rsidR="00B96700" w:rsidRPr="00AC0422" w14:paraId="1973D43E" w14:textId="77777777" w:rsidTr="00391BF1">
        <w:trPr>
          <w:trHeight w:val="282"/>
        </w:trPr>
        <w:tc>
          <w:tcPr>
            <w:tcW w:w="3409" w:type="dxa"/>
            <w:shd w:val="clear" w:color="auto" w:fill="auto"/>
            <w:vAlign w:val="center"/>
            <w:hideMark/>
          </w:tcPr>
          <w:p w14:paraId="357673F0"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Private Sector (Tech Providers, Data Consultants)</w:t>
            </w:r>
          </w:p>
        </w:tc>
        <w:tc>
          <w:tcPr>
            <w:tcW w:w="2435" w:type="dxa"/>
            <w:shd w:val="clear" w:color="auto" w:fill="auto"/>
            <w:vAlign w:val="center"/>
            <w:hideMark/>
          </w:tcPr>
          <w:p w14:paraId="1C4A8DD7"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3056" w:type="dxa"/>
            <w:shd w:val="clear" w:color="auto" w:fill="auto"/>
            <w:vAlign w:val="center"/>
            <w:hideMark/>
          </w:tcPr>
          <w:p w14:paraId="733027CD"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3A8ACC20" w14:textId="77777777" w:rsidTr="00391BF1">
        <w:trPr>
          <w:trHeight w:val="282"/>
        </w:trPr>
        <w:tc>
          <w:tcPr>
            <w:tcW w:w="3409" w:type="dxa"/>
            <w:shd w:val="clear" w:color="auto" w:fill="auto"/>
            <w:vAlign w:val="center"/>
            <w:hideMark/>
          </w:tcPr>
          <w:p w14:paraId="0BA2103D"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Total Participants</w:t>
            </w:r>
          </w:p>
        </w:tc>
        <w:tc>
          <w:tcPr>
            <w:tcW w:w="2435" w:type="dxa"/>
            <w:shd w:val="clear" w:color="auto" w:fill="auto"/>
            <w:vAlign w:val="center"/>
            <w:hideMark/>
          </w:tcPr>
          <w:p w14:paraId="6355B319"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w:t>
            </w:r>
          </w:p>
        </w:tc>
        <w:tc>
          <w:tcPr>
            <w:tcW w:w="3056" w:type="dxa"/>
            <w:shd w:val="clear" w:color="auto" w:fill="auto"/>
            <w:vAlign w:val="center"/>
            <w:hideMark/>
          </w:tcPr>
          <w:p w14:paraId="69C4B619"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50-55% Men, 45-50% Women</w:t>
            </w:r>
          </w:p>
        </w:tc>
      </w:tr>
    </w:tbl>
    <w:p w14:paraId="79C5C8CE" w14:textId="77777777" w:rsidR="00B96700" w:rsidRPr="00AC0422" w:rsidRDefault="00B96700" w:rsidP="00B96700">
      <w:pPr>
        <w:spacing w:after="120"/>
        <w:ind w:right="-28"/>
        <w:rPr>
          <w:rFonts w:asciiTheme="minorHAnsi" w:hAnsiTheme="minorHAnsi" w:cstheme="minorHAnsi"/>
          <w:szCs w:val="20"/>
          <w:lang w:eastAsia="en-GB"/>
        </w:rPr>
      </w:pPr>
    </w:p>
    <w:p w14:paraId="33B5773B" w14:textId="77777777" w:rsidR="00B96700" w:rsidRPr="00AC0422" w:rsidRDefault="00B96700" w:rsidP="00B96700">
      <w:pPr>
        <w:spacing w:after="120"/>
        <w:ind w:right="-28"/>
        <w:rPr>
          <w:rFonts w:asciiTheme="minorHAnsi" w:hAnsiTheme="minorHAnsi" w:cstheme="minorHAnsi"/>
          <w:b/>
          <w:bCs/>
          <w:szCs w:val="20"/>
          <w:lang w:eastAsia="en-GB"/>
        </w:rPr>
      </w:pPr>
      <w:r w:rsidRPr="00AC0422">
        <w:rPr>
          <w:rFonts w:asciiTheme="minorHAnsi" w:hAnsiTheme="minorHAnsi" w:cstheme="minorHAnsi"/>
          <w:b/>
          <w:bCs/>
          <w:szCs w:val="20"/>
          <w:lang w:eastAsia="en-GB"/>
        </w:rPr>
        <w:t>Technical Workshop on Climate Projections Downscaling for Yemen</w:t>
      </w:r>
    </w:p>
    <w:p w14:paraId="53ABD797"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This hands-on technical training will build the capacity of climate analysts, meteorologists, and hydrologists in advanced downscaling techniques, data analysis, and application of climate models for Yemen’s adaptation planning.  It will be 5-days in duration and topics to be covered include:</w:t>
      </w:r>
    </w:p>
    <w:p w14:paraId="027AAECD"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Introduction to Downscaling for Climate Projections</w:t>
      </w:r>
    </w:p>
    <w:p w14:paraId="37909403"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Comparison of Statistical vs. Dynamical Downscaling Methods</w:t>
      </w:r>
    </w:p>
    <w:p w14:paraId="408B1102"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Understanding Global Climate Models (GCMs) and Regional Climate Models (RCMs)</w:t>
      </w:r>
    </w:p>
    <w:p w14:paraId="32184302"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Hands-on Training on Using RCMs for Downscaling Climate Projections (CORDEX, WRF, PRECIS)</w:t>
      </w:r>
    </w:p>
    <w:p w14:paraId="67CF6FED"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Using Satellite-Based Observations and Reanalysis Datasets for Climate Modelling</w:t>
      </w:r>
    </w:p>
    <w:p w14:paraId="1C05CCE3"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Application of Downscaled Climate Projections for Yemen’s Four Pilot Catchments (Abyan Delta, Wadi </w:t>
      </w:r>
      <w:proofErr w:type="spellStart"/>
      <w:r w:rsidRPr="00AC0422">
        <w:rPr>
          <w:rFonts w:asciiTheme="minorHAnsi" w:hAnsiTheme="minorHAnsi" w:cstheme="minorHAnsi"/>
          <w:szCs w:val="20"/>
          <w:lang w:val="en-GB" w:eastAsia="en-GB"/>
        </w:rPr>
        <w:t>Rasyan</w:t>
      </w:r>
      <w:proofErr w:type="spellEnd"/>
      <w:r w:rsidRPr="00AC0422">
        <w:rPr>
          <w:rFonts w:asciiTheme="minorHAnsi" w:hAnsiTheme="minorHAnsi" w:cstheme="minorHAnsi"/>
          <w:szCs w:val="20"/>
          <w:lang w:val="en-GB" w:eastAsia="en-GB"/>
        </w:rPr>
        <w:t xml:space="preserve">, Wadi </w:t>
      </w:r>
      <w:proofErr w:type="spellStart"/>
      <w:r w:rsidRPr="00AC0422">
        <w:rPr>
          <w:rFonts w:asciiTheme="minorHAnsi" w:hAnsiTheme="minorHAnsi" w:cstheme="minorHAnsi"/>
          <w:szCs w:val="20"/>
          <w:lang w:val="en-GB" w:eastAsia="en-GB"/>
        </w:rPr>
        <w:t>Seham</w:t>
      </w:r>
      <w:proofErr w:type="spellEnd"/>
      <w:r w:rsidRPr="00AC0422">
        <w:rPr>
          <w:rFonts w:asciiTheme="minorHAnsi" w:hAnsiTheme="minorHAnsi" w:cstheme="minorHAnsi"/>
          <w:szCs w:val="20"/>
          <w:lang w:val="en-GB" w:eastAsia="en-GB"/>
        </w:rPr>
        <w:t>, and Wadi Hadramawt)</w:t>
      </w:r>
    </w:p>
    <w:p w14:paraId="2591E89F"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Use of Open-Source Tools for Climate Downscaling (R, Python, GIS Platforms)</w:t>
      </w:r>
    </w:p>
    <w:p w14:paraId="6995F287"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Practical Exercises in Climate Model Data Processing and Interpretation</w:t>
      </w:r>
    </w:p>
    <w:p w14:paraId="38860BEC" w14:textId="77777777" w:rsidR="00B96700" w:rsidRPr="00AC0422" w:rsidRDefault="00B96700" w:rsidP="005D2C02">
      <w:pPr>
        <w:numPr>
          <w:ilvl w:val="0"/>
          <w:numId w:val="71"/>
        </w:numPr>
        <w:spacing w:after="0"/>
        <w:ind w:left="714" w:right="-28" w:hanging="357"/>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Generating Climate Projection Outputs for Climate Hazard and Vulnerability Assessments</w:t>
      </w:r>
    </w:p>
    <w:p w14:paraId="09841F46" w14:textId="77777777" w:rsidR="00B96700" w:rsidRPr="00AC0422" w:rsidRDefault="00B96700" w:rsidP="00B96700">
      <w:pPr>
        <w:spacing w:after="120"/>
        <w:ind w:right="-28"/>
        <w:rPr>
          <w:rFonts w:asciiTheme="minorHAnsi" w:hAnsiTheme="minorHAnsi" w:cstheme="minorHAnsi"/>
          <w:szCs w:val="20"/>
          <w:lang w:eastAsia="en-GB"/>
        </w:rPr>
      </w:pPr>
    </w:p>
    <w:p w14:paraId="2CB07F4C"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noProof/>
          <w:sz w:val="20"/>
          <w:szCs w:val="20"/>
        </w:rPr>
        <w:t>16</w:t>
      </w:r>
      <w:r w:rsidRPr="00AC0422">
        <w:rPr>
          <w:rFonts w:asciiTheme="minorHAnsi" w:hAnsiTheme="minorHAnsi" w:cstheme="minorHAnsi"/>
          <w:noProof/>
          <w:sz w:val="20"/>
          <w:szCs w:val="20"/>
        </w:rPr>
        <w:fldChar w:fldCharType="end"/>
      </w:r>
      <w:r w:rsidRPr="00AC0422">
        <w:rPr>
          <w:rFonts w:asciiTheme="minorHAnsi" w:hAnsiTheme="minorHAnsi" w:cstheme="minorHAnsi"/>
          <w:sz w:val="20"/>
          <w:szCs w:val="20"/>
        </w:rPr>
        <w:t>: Targeted stakeholders and estimated Number of Participants (with Gender Targets)</w:t>
      </w:r>
    </w:p>
    <w:tbl>
      <w:tblPr>
        <w:tblW w:w="9491" w:type="dxa"/>
        <w:tblLook w:val="04A0" w:firstRow="1" w:lastRow="0" w:firstColumn="1" w:lastColumn="0" w:noHBand="0" w:noVBand="1"/>
      </w:tblPr>
      <w:tblGrid>
        <w:gridCol w:w="3635"/>
        <w:gridCol w:w="2597"/>
        <w:gridCol w:w="3259"/>
      </w:tblGrid>
      <w:tr w:rsidR="00B96700" w:rsidRPr="00AC0422" w14:paraId="3B852731" w14:textId="77777777" w:rsidTr="00391BF1">
        <w:trPr>
          <w:trHeight w:val="252"/>
        </w:trPr>
        <w:tc>
          <w:tcPr>
            <w:tcW w:w="363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A10494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Stakeholder Group</w:t>
            </w:r>
          </w:p>
        </w:tc>
        <w:tc>
          <w:tcPr>
            <w:tcW w:w="2597" w:type="dxa"/>
            <w:tcBorders>
              <w:top w:val="single" w:sz="8" w:space="0" w:color="auto"/>
              <w:left w:val="nil"/>
              <w:bottom w:val="single" w:sz="4" w:space="0" w:color="auto"/>
              <w:right w:val="single" w:sz="4" w:space="0" w:color="auto"/>
            </w:tcBorders>
            <w:shd w:val="clear" w:color="auto" w:fill="auto"/>
            <w:vAlign w:val="center"/>
            <w:hideMark/>
          </w:tcPr>
          <w:p w14:paraId="2DD8B56A"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Participants</w:t>
            </w:r>
          </w:p>
        </w:tc>
        <w:tc>
          <w:tcPr>
            <w:tcW w:w="3259" w:type="dxa"/>
            <w:tcBorders>
              <w:top w:val="single" w:sz="8" w:space="0" w:color="auto"/>
              <w:left w:val="nil"/>
              <w:bottom w:val="single" w:sz="4" w:space="0" w:color="auto"/>
              <w:right w:val="single" w:sz="8" w:space="0" w:color="auto"/>
            </w:tcBorders>
            <w:shd w:val="clear" w:color="auto" w:fill="auto"/>
            <w:vAlign w:val="center"/>
            <w:hideMark/>
          </w:tcPr>
          <w:p w14:paraId="6DB45DF3"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Gender Target (%)</w:t>
            </w:r>
          </w:p>
        </w:tc>
      </w:tr>
      <w:tr w:rsidR="00B96700" w:rsidRPr="00AC0422" w14:paraId="48EC2ACE" w14:textId="77777777" w:rsidTr="00391BF1">
        <w:trPr>
          <w:trHeight w:val="505"/>
        </w:trPr>
        <w:tc>
          <w:tcPr>
            <w:tcW w:w="3635" w:type="dxa"/>
            <w:tcBorders>
              <w:top w:val="nil"/>
              <w:left w:val="single" w:sz="8" w:space="0" w:color="auto"/>
              <w:bottom w:val="single" w:sz="4" w:space="0" w:color="auto"/>
              <w:right w:val="single" w:sz="4" w:space="0" w:color="auto"/>
            </w:tcBorders>
            <w:shd w:val="clear" w:color="auto" w:fill="auto"/>
            <w:vAlign w:val="center"/>
            <w:hideMark/>
          </w:tcPr>
          <w:p w14:paraId="7E3D5CA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Government Agencies (EPA, CAMA,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DRMU)</w:t>
            </w:r>
          </w:p>
        </w:tc>
        <w:tc>
          <w:tcPr>
            <w:tcW w:w="2597" w:type="dxa"/>
            <w:tcBorders>
              <w:top w:val="nil"/>
              <w:left w:val="nil"/>
              <w:bottom w:val="single" w:sz="4" w:space="0" w:color="auto"/>
              <w:right w:val="single" w:sz="4" w:space="0" w:color="auto"/>
            </w:tcBorders>
            <w:shd w:val="clear" w:color="auto" w:fill="auto"/>
            <w:vAlign w:val="center"/>
            <w:hideMark/>
          </w:tcPr>
          <w:p w14:paraId="1317D141"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3259" w:type="dxa"/>
            <w:tcBorders>
              <w:top w:val="nil"/>
              <w:left w:val="nil"/>
              <w:bottom w:val="single" w:sz="4" w:space="0" w:color="auto"/>
              <w:right w:val="single" w:sz="8" w:space="0" w:color="auto"/>
            </w:tcBorders>
            <w:shd w:val="clear" w:color="auto" w:fill="auto"/>
            <w:vAlign w:val="center"/>
            <w:hideMark/>
          </w:tcPr>
          <w:p w14:paraId="13C35DA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r>
      <w:tr w:rsidR="00B96700" w:rsidRPr="00AC0422" w14:paraId="3A8F62DC" w14:textId="77777777" w:rsidTr="00391BF1">
        <w:trPr>
          <w:trHeight w:val="252"/>
        </w:trPr>
        <w:tc>
          <w:tcPr>
            <w:tcW w:w="3635" w:type="dxa"/>
            <w:tcBorders>
              <w:top w:val="nil"/>
              <w:left w:val="single" w:sz="8" w:space="0" w:color="auto"/>
              <w:bottom w:val="single" w:sz="4" w:space="0" w:color="auto"/>
              <w:right w:val="single" w:sz="4" w:space="0" w:color="auto"/>
            </w:tcBorders>
            <w:shd w:val="clear" w:color="auto" w:fill="auto"/>
            <w:vAlign w:val="center"/>
            <w:hideMark/>
          </w:tcPr>
          <w:p w14:paraId="2732EC9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Academia and Research Institutions</w:t>
            </w:r>
          </w:p>
        </w:tc>
        <w:tc>
          <w:tcPr>
            <w:tcW w:w="2597" w:type="dxa"/>
            <w:tcBorders>
              <w:top w:val="nil"/>
              <w:left w:val="nil"/>
              <w:bottom w:val="single" w:sz="4" w:space="0" w:color="auto"/>
              <w:right w:val="single" w:sz="4" w:space="0" w:color="auto"/>
            </w:tcBorders>
            <w:shd w:val="clear" w:color="auto" w:fill="auto"/>
            <w:vAlign w:val="center"/>
            <w:hideMark/>
          </w:tcPr>
          <w:p w14:paraId="67AB28D5"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3259" w:type="dxa"/>
            <w:tcBorders>
              <w:top w:val="nil"/>
              <w:left w:val="nil"/>
              <w:bottom w:val="single" w:sz="4" w:space="0" w:color="auto"/>
              <w:right w:val="single" w:sz="8" w:space="0" w:color="auto"/>
            </w:tcBorders>
            <w:shd w:val="clear" w:color="auto" w:fill="auto"/>
            <w:vAlign w:val="center"/>
            <w:hideMark/>
          </w:tcPr>
          <w:p w14:paraId="2C4A544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3877230E" w14:textId="77777777" w:rsidTr="00391BF1">
        <w:trPr>
          <w:trHeight w:val="505"/>
        </w:trPr>
        <w:tc>
          <w:tcPr>
            <w:tcW w:w="3635" w:type="dxa"/>
            <w:tcBorders>
              <w:top w:val="nil"/>
              <w:left w:val="single" w:sz="8" w:space="0" w:color="auto"/>
              <w:bottom w:val="single" w:sz="4" w:space="0" w:color="auto"/>
              <w:right w:val="single" w:sz="4" w:space="0" w:color="auto"/>
            </w:tcBorders>
            <w:shd w:val="clear" w:color="auto" w:fill="auto"/>
            <w:vAlign w:val="center"/>
            <w:hideMark/>
          </w:tcPr>
          <w:p w14:paraId="29D0679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Meteorologists and Climate Data Analysts</w:t>
            </w:r>
          </w:p>
        </w:tc>
        <w:tc>
          <w:tcPr>
            <w:tcW w:w="2597" w:type="dxa"/>
            <w:tcBorders>
              <w:top w:val="nil"/>
              <w:left w:val="nil"/>
              <w:bottom w:val="single" w:sz="4" w:space="0" w:color="auto"/>
              <w:right w:val="single" w:sz="4" w:space="0" w:color="auto"/>
            </w:tcBorders>
            <w:shd w:val="clear" w:color="auto" w:fill="auto"/>
            <w:vAlign w:val="center"/>
            <w:hideMark/>
          </w:tcPr>
          <w:p w14:paraId="3B21F0C1"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259" w:type="dxa"/>
            <w:tcBorders>
              <w:top w:val="nil"/>
              <w:left w:val="nil"/>
              <w:bottom w:val="single" w:sz="4" w:space="0" w:color="auto"/>
              <w:right w:val="single" w:sz="8" w:space="0" w:color="auto"/>
            </w:tcBorders>
            <w:shd w:val="clear" w:color="auto" w:fill="auto"/>
            <w:vAlign w:val="center"/>
            <w:hideMark/>
          </w:tcPr>
          <w:p w14:paraId="201DF61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4A5C5DB5" w14:textId="77777777" w:rsidTr="00391BF1">
        <w:trPr>
          <w:trHeight w:val="505"/>
        </w:trPr>
        <w:tc>
          <w:tcPr>
            <w:tcW w:w="3635" w:type="dxa"/>
            <w:tcBorders>
              <w:top w:val="nil"/>
              <w:left w:val="single" w:sz="8" w:space="0" w:color="auto"/>
              <w:bottom w:val="single" w:sz="4" w:space="0" w:color="auto"/>
              <w:right w:val="single" w:sz="4" w:space="0" w:color="auto"/>
            </w:tcBorders>
            <w:shd w:val="clear" w:color="auto" w:fill="auto"/>
            <w:vAlign w:val="center"/>
            <w:hideMark/>
          </w:tcPr>
          <w:p w14:paraId="4D88A13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NGOs and CSOs Working on Climate Data and Adaptation</w:t>
            </w:r>
          </w:p>
        </w:tc>
        <w:tc>
          <w:tcPr>
            <w:tcW w:w="2597" w:type="dxa"/>
            <w:tcBorders>
              <w:top w:val="nil"/>
              <w:left w:val="nil"/>
              <w:bottom w:val="single" w:sz="4" w:space="0" w:color="auto"/>
              <w:right w:val="single" w:sz="4" w:space="0" w:color="auto"/>
            </w:tcBorders>
            <w:shd w:val="clear" w:color="auto" w:fill="auto"/>
            <w:vAlign w:val="center"/>
            <w:hideMark/>
          </w:tcPr>
          <w:p w14:paraId="0D9E49C6"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259" w:type="dxa"/>
            <w:tcBorders>
              <w:top w:val="nil"/>
              <w:left w:val="nil"/>
              <w:bottom w:val="single" w:sz="4" w:space="0" w:color="auto"/>
              <w:right w:val="single" w:sz="8" w:space="0" w:color="auto"/>
            </w:tcBorders>
            <w:shd w:val="clear" w:color="auto" w:fill="auto"/>
            <w:vAlign w:val="center"/>
            <w:hideMark/>
          </w:tcPr>
          <w:p w14:paraId="0C80F5A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40% Men, 60% Women</w:t>
            </w:r>
          </w:p>
        </w:tc>
      </w:tr>
      <w:tr w:rsidR="00B96700" w:rsidRPr="00AC0422" w14:paraId="4AFBE5C4" w14:textId="77777777" w:rsidTr="00391BF1">
        <w:trPr>
          <w:trHeight w:val="505"/>
        </w:trPr>
        <w:tc>
          <w:tcPr>
            <w:tcW w:w="3635" w:type="dxa"/>
            <w:tcBorders>
              <w:top w:val="nil"/>
              <w:left w:val="single" w:sz="8" w:space="0" w:color="auto"/>
              <w:bottom w:val="single" w:sz="4" w:space="0" w:color="auto"/>
              <w:right w:val="single" w:sz="4" w:space="0" w:color="auto"/>
            </w:tcBorders>
            <w:shd w:val="clear" w:color="auto" w:fill="auto"/>
            <w:vAlign w:val="center"/>
            <w:hideMark/>
          </w:tcPr>
          <w:p w14:paraId="5483CD6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Private Sector (GIS and Remote Sensing Firms, Data Providers)</w:t>
            </w:r>
          </w:p>
        </w:tc>
        <w:tc>
          <w:tcPr>
            <w:tcW w:w="2597" w:type="dxa"/>
            <w:tcBorders>
              <w:top w:val="nil"/>
              <w:left w:val="nil"/>
              <w:bottom w:val="single" w:sz="4" w:space="0" w:color="auto"/>
              <w:right w:val="single" w:sz="4" w:space="0" w:color="auto"/>
            </w:tcBorders>
            <w:shd w:val="clear" w:color="auto" w:fill="auto"/>
            <w:vAlign w:val="center"/>
            <w:hideMark/>
          </w:tcPr>
          <w:p w14:paraId="5F6B0044"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3259" w:type="dxa"/>
            <w:tcBorders>
              <w:top w:val="nil"/>
              <w:left w:val="nil"/>
              <w:bottom w:val="single" w:sz="4" w:space="0" w:color="auto"/>
              <w:right w:val="single" w:sz="8" w:space="0" w:color="auto"/>
            </w:tcBorders>
            <w:shd w:val="clear" w:color="auto" w:fill="auto"/>
            <w:vAlign w:val="center"/>
            <w:hideMark/>
          </w:tcPr>
          <w:p w14:paraId="26F61E7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4E9D50E0" w14:textId="77777777" w:rsidTr="00391BF1">
        <w:trPr>
          <w:trHeight w:val="265"/>
        </w:trPr>
        <w:tc>
          <w:tcPr>
            <w:tcW w:w="3635" w:type="dxa"/>
            <w:tcBorders>
              <w:top w:val="nil"/>
              <w:left w:val="single" w:sz="8" w:space="0" w:color="auto"/>
              <w:bottom w:val="single" w:sz="8" w:space="0" w:color="auto"/>
              <w:right w:val="single" w:sz="4" w:space="0" w:color="auto"/>
            </w:tcBorders>
            <w:shd w:val="clear" w:color="auto" w:fill="auto"/>
            <w:vAlign w:val="center"/>
            <w:hideMark/>
          </w:tcPr>
          <w:p w14:paraId="3CAA79ED"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Total Participants</w:t>
            </w:r>
          </w:p>
        </w:tc>
        <w:tc>
          <w:tcPr>
            <w:tcW w:w="2597" w:type="dxa"/>
            <w:tcBorders>
              <w:top w:val="nil"/>
              <w:left w:val="nil"/>
              <w:bottom w:val="single" w:sz="8" w:space="0" w:color="auto"/>
              <w:right w:val="single" w:sz="4" w:space="0" w:color="auto"/>
            </w:tcBorders>
            <w:shd w:val="clear" w:color="auto" w:fill="auto"/>
            <w:vAlign w:val="center"/>
            <w:hideMark/>
          </w:tcPr>
          <w:p w14:paraId="73145E40"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55</w:t>
            </w:r>
          </w:p>
        </w:tc>
        <w:tc>
          <w:tcPr>
            <w:tcW w:w="3259" w:type="dxa"/>
            <w:tcBorders>
              <w:top w:val="nil"/>
              <w:left w:val="nil"/>
              <w:bottom w:val="single" w:sz="8" w:space="0" w:color="auto"/>
              <w:right w:val="single" w:sz="8" w:space="0" w:color="auto"/>
            </w:tcBorders>
            <w:shd w:val="clear" w:color="auto" w:fill="auto"/>
            <w:vAlign w:val="center"/>
            <w:hideMark/>
          </w:tcPr>
          <w:p w14:paraId="6F709F54"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50-55% Men, 45-50% Women</w:t>
            </w:r>
          </w:p>
        </w:tc>
      </w:tr>
    </w:tbl>
    <w:p w14:paraId="043488DB" w14:textId="77777777" w:rsidR="00B96700" w:rsidRPr="00AC0422" w:rsidRDefault="00B96700" w:rsidP="00B96700">
      <w:pPr>
        <w:spacing w:after="120"/>
        <w:ind w:right="-28"/>
        <w:rPr>
          <w:rFonts w:asciiTheme="minorHAnsi" w:hAnsiTheme="minorHAnsi" w:cstheme="minorHAnsi"/>
          <w:szCs w:val="20"/>
          <w:lang w:eastAsia="en-GB"/>
        </w:rPr>
      </w:pPr>
    </w:p>
    <w:p w14:paraId="6E72E71D" w14:textId="77777777" w:rsidR="00B96700" w:rsidRPr="00AC0422" w:rsidRDefault="00B96700" w:rsidP="00B96700">
      <w:pPr>
        <w:spacing w:after="120"/>
        <w:ind w:right="-28"/>
        <w:rPr>
          <w:rFonts w:asciiTheme="minorHAnsi" w:hAnsiTheme="minorHAnsi" w:cstheme="minorHAnsi"/>
          <w:b/>
          <w:bCs/>
          <w:szCs w:val="20"/>
          <w:lang w:eastAsia="en-GB"/>
        </w:rPr>
      </w:pPr>
      <w:r w:rsidRPr="00AC0422">
        <w:rPr>
          <w:rFonts w:asciiTheme="minorHAnsi" w:hAnsiTheme="minorHAnsi" w:cstheme="minorHAnsi"/>
          <w:b/>
          <w:bCs/>
          <w:szCs w:val="20"/>
          <w:lang w:eastAsia="en-GB"/>
        </w:rPr>
        <w:t>Stakeholder Validation Workshop on Downscaled Climate Projections for Yemen’s Pilot Catchments</w:t>
      </w:r>
    </w:p>
    <w:p w14:paraId="49192E28" w14:textId="77777777" w:rsidR="00B96700" w:rsidRPr="00AC0422" w:rsidRDefault="00B96700" w:rsidP="00B96700">
      <w:pPr>
        <w:ind w:right="-28"/>
        <w:rPr>
          <w:rFonts w:asciiTheme="minorHAnsi" w:hAnsiTheme="minorHAnsi" w:cstheme="minorHAnsi"/>
          <w:szCs w:val="20"/>
          <w:lang w:val="en-GB" w:eastAsia="en-GB"/>
        </w:rPr>
      </w:pPr>
      <w:r w:rsidRPr="00AC0422">
        <w:rPr>
          <w:rFonts w:asciiTheme="minorHAnsi" w:hAnsiTheme="minorHAnsi" w:cstheme="minorHAnsi"/>
          <w:szCs w:val="20"/>
          <w:lang w:eastAsia="en-GB"/>
        </w:rPr>
        <w:t>This workshop will engage stakeholders in validating the outputs of the climate downscaling exercise, ensuring that projections are scientifically sound and applicable for adaptation planning.  It will be 1-day in duration and the following t</w:t>
      </w:r>
      <w:proofErr w:type="spellStart"/>
      <w:r w:rsidRPr="00AC0422">
        <w:rPr>
          <w:rFonts w:asciiTheme="minorHAnsi" w:hAnsiTheme="minorHAnsi" w:cstheme="minorHAnsi"/>
          <w:szCs w:val="20"/>
          <w:lang w:val="en-GB" w:eastAsia="en-GB"/>
        </w:rPr>
        <w:t>opics</w:t>
      </w:r>
      <w:proofErr w:type="spellEnd"/>
      <w:r w:rsidRPr="00AC0422">
        <w:rPr>
          <w:rFonts w:asciiTheme="minorHAnsi" w:hAnsiTheme="minorHAnsi" w:cstheme="minorHAnsi"/>
          <w:szCs w:val="20"/>
          <w:lang w:val="en-GB" w:eastAsia="en-GB"/>
        </w:rPr>
        <w:t xml:space="preserve"> will be covered:</w:t>
      </w:r>
    </w:p>
    <w:p w14:paraId="660CA0A7" w14:textId="77777777" w:rsidR="00B96700" w:rsidRPr="00AC0422" w:rsidRDefault="00B96700" w:rsidP="00B96700">
      <w:pPr>
        <w:ind w:right="-28"/>
        <w:rPr>
          <w:rFonts w:asciiTheme="minorHAnsi" w:hAnsiTheme="minorHAnsi" w:cstheme="minorHAnsi"/>
          <w:szCs w:val="20"/>
          <w:lang w:val="en-GB" w:eastAsia="en-GB"/>
        </w:rPr>
      </w:pPr>
    </w:p>
    <w:p w14:paraId="0D7C04A2" w14:textId="77777777" w:rsidR="00B96700" w:rsidRPr="00AC0422" w:rsidRDefault="00B96700" w:rsidP="005D2C02">
      <w:pPr>
        <w:pStyle w:val="ListParagraph"/>
        <w:numPr>
          <w:ilvl w:val="0"/>
          <w:numId w:val="72"/>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Presentation of Downscaled Climate Projections for Yemen’s Four Pilot Catchments</w:t>
      </w:r>
    </w:p>
    <w:p w14:paraId="69CA65C9" w14:textId="77777777" w:rsidR="00B96700" w:rsidRPr="00AC0422" w:rsidRDefault="00B96700" w:rsidP="005D2C02">
      <w:pPr>
        <w:pStyle w:val="ListParagraph"/>
        <w:numPr>
          <w:ilvl w:val="0"/>
          <w:numId w:val="72"/>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Discussion on Data Accuracy, Challenges, and Gaps in Projections</w:t>
      </w:r>
    </w:p>
    <w:p w14:paraId="14AFACEF" w14:textId="77777777" w:rsidR="00B96700" w:rsidRPr="00AC0422" w:rsidRDefault="00B96700" w:rsidP="005D2C02">
      <w:pPr>
        <w:pStyle w:val="ListParagraph"/>
        <w:numPr>
          <w:ilvl w:val="0"/>
          <w:numId w:val="72"/>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Validation of Key Climate Projection Parameters (Temperature, Precipitation, Extreme Weather Events)</w:t>
      </w:r>
    </w:p>
    <w:p w14:paraId="328A094B" w14:textId="77777777" w:rsidR="00B96700" w:rsidRPr="00AC0422" w:rsidRDefault="00B96700" w:rsidP="005D2C02">
      <w:pPr>
        <w:pStyle w:val="ListParagraph"/>
        <w:numPr>
          <w:ilvl w:val="0"/>
          <w:numId w:val="72"/>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Application of Projections in Climate Hazard, Risk, and Vulnerability Assessments</w:t>
      </w:r>
    </w:p>
    <w:p w14:paraId="74934C1F" w14:textId="77777777" w:rsidR="00B96700" w:rsidRPr="00AC0422" w:rsidRDefault="00B96700" w:rsidP="005D2C02">
      <w:pPr>
        <w:pStyle w:val="ListParagraph"/>
        <w:numPr>
          <w:ilvl w:val="0"/>
          <w:numId w:val="72"/>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Feedback and Recommendations for Finalizing Climate Downscaling Outputs</w:t>
      </w:r>
    </w:p>
    <w:p w14:paraId="51DC4536" w14:textId="77777777" w:rsidR="00B96700" w:rsidRPr="00AC0422" w:rsidRDefault="00B96700" w:rsidP="00B96700">
      <w:pPr>
        <w:spacing w:after="120"/>
        <w:ind w:right="-28"/>
        <w:rPr>
          <w:rFonts w:asciiTheme="minorHAnsi" w:hAnsiTheme="minorHAnsi" w:cstheme="minorHAnsi"/>
          <w:szCs w:val="20"/>
          <w:lang w:eastAsia="en-GB"/>
        </w:rPr>
      </w:pPr>
    </w:p>
    <w:p w14:paraId="0A57FD84"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17</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Targeted stakeholders and estimated Number of Participants (with Gender Targets)</w:t>
      </w:r>
    </w:p>
    <w:tbl>
      <w:tblPr>
        <w:tblW w:w="9555" w:type="dxa"/>
        <w:tblLook w:val="04A0" w:firstRow="1" w:lastRow="0" w:firstColumn="1" w:lastColumn="0" w:noHBand="0" w:noVBand="1"/>
      </w:tblPr>
      <w:tblGrid>
        <w:gridCol w:w="3660"/>
        <w:gridCol w:w="2614"/>
        <w:gridCol w:w="3281"/>
      </w:tblGrid>
      <w:tr w:rsidR="00B96700" w:rsidRPr="00AC0422" w14:paraId="46D6BCBC" w14:textId="77777777" w:rsidTr="00391BF1">
        <w:trPr>
          <w:trHeight w:val="261"/>
        </w:trPr>
        <w:tc>
          <w:tcPr>
            <w:tcW w:w="366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CA55CB5"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Stakeholder Group</w:t>
            </w:r>
          </w:p>
        </w:tc>
        <w:tc>
          <w:tcPr>
            <w:tcW w:w="2614" w:type="dxa"/>
            <w:tcBorders>
              <w:top w:val="single" w:sz="8" w:space="0" w:color="auto"/>
              <w:left w:val="nil"/>
              <w:bottom w:val="single" w:sz="4" w:space="0" w:color="auto"/>
              <w:right w:val="single" w:sz="4" w:space="0" w:color="auto"/>
            </w:tcBorders>
            <w:shd w:val="clear" w:color="auto" w:fill="auto"/>
            <w:vAlign w:val="center"/>
            <w:hideMark/>
          </w:tcPr>
          <w:p w14:paraId="1EE28EF5"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Participants</w:t>
            </w:r>
          </w:p>
        </w:tc>
        <w:tc>
          <w:tcPr>
            <w:tcW w:w="3281" w:type="dxa"/>
            <w:tcBorders>
              <w:top w:val="single" w:sz="8" w:space="0" w:color="auto"/>
              <w:left w:val="nil"/>
              <w:bottom w:val="single" w:sz="4" w:space="0" w:color="auto"/>
              <w:right w:val="single" w:sz="8" w:space="0" w:color="auto"/>
            </w:tcBorders>
            <w:shd w:val="clear" w:color="auto" w:fill="auto"/>
            <w:vAlign w:val="center"/>
            <w:hideMark/>
          </w:tcPr>
          <w:p w14:paraId="74930293"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Gender Target (%)</w:t>
            </w:r>
          </w:p>
        </w:tc>
      </w:tr>
      <w:tr w:rsidR="00B96700" w:rsidRPr="00AC0422" w14:paraId="37970C55" w14:textId="77777777" w:rsidTr="00391BF1">
        <w:trPr>
          <w:trHeight w:val="522"/>
        </w:trPr>
        <w:tc>
          <w:tcPr>
            <w:tcW w:w="3660" w:type="dxa"/>
            <w:tcBorders>
              <w:top w:val="nil"/>
              <w:left w:val="single" w:sz="8" w:space="0" w:color="auto"/>
              <w:bottom w:val="single" w:sz="4" w:space="0" w:color="auto"/>
              <w:right w:val="single" w:sz="4" w:space="0" w:color="auto"/>
            </w:tcBorders>
            <w:shd w:val="clear" w:color="auto" w:fill="auto"/>
            <w:vAlign w:val="center"/>
            <w:hideMark/>
          </w:tcPr>
          <w:p w14:paraId="3713516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Government Agencies (EPA, CAMA,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DRMU)</w:t>
            </w:r>
          </w:p>
        </w:tc>
        <w:tc>
          <w:tcPr>
            <w:tcW w:w="2614" w:type="dxa"/>
            <w:tcBorders>
              <w:top w:val="nil"/>
              <w:left w:val="nil"/>
              <w:bottom w:val="single" w:sz="4" w:space="0" w:color="auto"/>
              <w:right w:val="single" w:sz="4" w:space="0" w:color="auto"/>
            </w:tcBorders>
            <w:shd w:val="clear" w:color="auto" w:fill="auto"/>
            <w:vAlign w:val="center"/>
            <w:hideMark/>
          </w:tcPr>
          <w:p w14:paraId="7B261BAD"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20</w:t>
            </w:r>
          </w:p>
        </w:tc>
        <w:tc>
          <w:tcPr>
            <w:tcW w:w="3281" w:type="dxa"/>
            <w:tcBorders>
              <w:top w:val="nil"/>
              <w:left w:val="nil"/>
              <w:bottom w:val="single" w:sz="4" w:space="0" w:color="auto"/>
              <w:right w:val="single" w:sz="8" w:space="0" w:color="auto"/>
            </w:tcBorders>
            <w:shd w:val="clear" w:color="auto" w:fill="auto"/>
            <w:vAlign w:val="center"/>
            <w:hideMark/>
          </w:tcPr>
          <w:p w14:paraId="0000BE7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60% Men, 40% Women</w:t>
            </w:r>
          </w:p>
        </w:tc>
      </w:tr>
      <w:tr w:rsidR="00B96700" w:rsidRPr="00AC0422" w14:paraId="5BFEE94C" w14:textId="77777777" w:rsidTr="00391BF1">
        <w:trPr>
          <w:trHeight w:val="261"/>
        </w:trPr>
        <w:tc>
          <w:tcPr>
            <w:tcW w:w="3660" w:type="dxa"/>
            <w:tcBorders>
              <w:top w:val="nil"/>
              <w:left w:val="single" w:sz="8" w:space="0" w:color="auto"/>
              <w:bottom w:val="single" w:sz="4" w:space="0" w:color="auto"/>
              <w:right w:val="single" w:sz="4" w:space="0" w:color="auto"/>
            </w:tcBorders>
            <w:shd w:val="clear" w:color="auto" w:fill="auto"/>
            <w:vAlign w:val="center"/>
            <w:hideMark/>
          </w:tcPr>
          <w:p w14:paraId="38C0E87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Academia and Research Institutions</w:t>
            </w:r>
          </w:p>
        </w:tc>
        <w:tc>
          <w:tcPr>
            <w:tcW w:w="2614" w:type="dxa"/>
            <w:tcBorders>
              <w:top w:val="nil"/>
              <w:left w:val="nil"/>
              <w:bottom w:val="single" w:sz="4" w:space="0" w:color="auto"/>
              <w:right w:val="single" w:sz="4" w:space="0" w:color="auto"/>
            </w:tcBorders>
            <w:shd w:val="clear" w:color="auto" w:fill="auto"/>
            <w:vAlign w:val="center"/>
            <w:hideMark/>
          </w:tcPr>
          <w:p w14:paraId="5BA28E05"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15</w:t>
            </w:r>
          </w:p>
        </w:tc>
        <w:tc>
          <w:tcPr>
            <w:tcW w:w="3281" w:type="dxa"/>
            <w:tcBorders>
              <w:top w:val="nil"/>
              <w:left w:val="nil"/>
              <w:bottom w:val="single" w:sz="4" w:space="0" w:color="auto"/>
              <w:right w:val="single" w:sz="8" w:space="0" w:color="auto"/>
            </w:tcBorders>
            <w:shd w:val="clear" w:color="auto" w:fill="auto"/>
            <w:vAlign w:val="center"/>
            <w:hideMark/>
          </w:tcPr>
          <w:p w14:paraId="062F348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2C317075" w14:textId="77777777" w:rsidTr="00391BF1">
        <w:trPr>
          <w:trHeight w:val="261"/>
        </w:trPr>
        <w:tc>
          <w:tcPr>
            <w:tcW w:w="3660" w:type="dxa"/>
            <w:tcBorders>
              <w:top w:val="nil"/>
              <w:left w:val="single" w:sz="8" w:space="0" w:color="auto"/>
              <w:bottom w:val="single" w:sz="4" w:space="0" w:color="auto"/>
              <w:right w:val="single" w:sz="4" w:space="0" w:color="auto"/>
            </w:tcBorders>
            <w:shd w:val="clear" w:color="auto" w:fill="auto"/>
            <w:vAlign w:val="center"/>
            <w:hideMark/>
          </w:tcPr>
          <w:p w14:paraId="5D48E2A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NGOs, CSOs, and Local Authorities</w:t>
            </w:r>
          </w:p>
        </w:tc>
        <w:tc>
          <w:tcPr>
            <w:tcW w:w="2614" w:type="dxa"/>
            <w:tcBorders>
              <w:top w:val="nil"/>
              <w:left w:val="nil"/>
              <w:bottom w:val="single" w:sz="4" w:space="0" w:color="auto"/>
              <w:right w:val="single" w:sz="4" w:space="0" w:color="auto"/>
            </w:tcBorders>
            <w:shd w:val="clear" w:color="auto" w:fill="auto"/>
            <w:vAlign w:val="center"/>
            <w:hideMark/>
          </w:tcPr>
          <w:p w14:paraId="502CC70F"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10</w:t>
            </w:r>
          </w:p>
        </w:tc>
        <w:tc>
          <w:tcPr>
            <w:tcW w:w="3281" w:type="dxa"/>
            <w:tcBorders>
              <w:top w:val="nil"/>
              <w:left w:val="nil"/>
              <w:bottom w:val="single" w:sz="4" w:space="0" w:color="auto"/>
              <w:right w:val="single" w:sz="8" w:space="0" w:color="auto"/>
            </w:tcBorders>
            <w:shd w:val="clear" w:color="auto" w:fill="auto"/>
            <w:vAlign w:val="center"/>
            <w:hideMark/>
          </w:tcPr>
          <w:p w14:paraId="60DD7DD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047E247C" w14:textId="77777777" w:rsidTr="00391BF1">
        <w:trPr>
          <w:trHeight w:val="522"/>
        </w:trPr>
        <w:tc>
          <w:tcPr>
            <w:tcW w:w="3660" w:type="dxa"/>
            <w:tcBorders>
              <w:top w:val="nil"/>
              <w:left w:val="single" w:sz="8" w:space="0" w:color="auto"/>
              <w:bottom w:val="single" w:sz="4" w:space="0" w:color="auto"/>
              <w:right w:val="single" w:sz="4" w:space="0" w:color="auto"/>
            </w:tcBorders>
            <w:shd w:val="clear" w:color="auto" w:fill="auto"/>
            <w:vAlign w:val="center"/>
            <w:hideMark/>
          </w:tcPr>
          <w:p w14:paraId="7FB3F9B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Private Sector (Climate Data Consultants, Water Management Firms)</w:t>
            </w:r>
          </w:p>
        </w:tc>
        <w:tc>
          <w:tcPr>
            <w:tcW w:w="2614" w:type="dxa"/>
            <w:tcBorders>
              <w:top w:val="nil"/>
              <w:left w:val="nil"/>
              <w:bottom w:val="single" w:sz="4" w:space="0" w:color="auto"/>
              <w:right w:val="single" w:sz="4" w:space="0" w:color="auto"/>
            </w:tcBorders>
            <w:shd w:val="clear" w:color="auto" w:fill="auto"/>
            <w:vAlign w:val="center"/>
            <w:hideMark/>
          </w:tcPr>
          <w:p w14:paraId="367ED631" w14:textId="77777777" w:rsidR="00B96700" w:rsidRPr="00AC0422" w:rsidRDefault="00B96700" w:rsidP="00391BF1">
            <w:pPr>
              <w:jc w:val="center"/>
              <w:rPr>
                <w:rFonts w:asciiTheme="minorHAnsi" w:hAnsiTheme="minorHAnsi" w:cstheme="minorHAnsi"/>
                <w:color w:val="000000"/>
                <w:szCs w:val="20"/>
              </w:rPr>
            </w:pPr>
            <w:r w:rsidRPr="00AC0422">
              <w:rPr>
                <w:rFonts w:asciiTheme="minorHAnsi" w:hAnsiTheme="minorHAnsi" w:cstheme="minorHAnsi"/>
                <w:color w:val="000000"/>
                <w:szCs w:val="20"/>
              </w:rPr>
              <w:t>5</w:t>
            </w:r>
          </w:p>
        </w:tc>
        <w:tc>
          <w:tcPr>
            <w:tcW w:w="3281" w:type="dxa"/>
            <w:tcBorders>
              <w:top w:val="nil"/>
              <w:left w:val="nil"/>
              <w:bottom w:val="single" w:sz="4" w:space="0" w:color="auto"/>
              <w:right w:val="single" w:sz="8" w:space="0" w:color="auto"/>
            </w:tcBorders>
            <w:shd w:val="clear" w:color="auto" w:fill="auto"/>
            <w:vAlign w:val="center"/>
            <w:hideMark/>
          </w:tcPr>
          <w:p w14:paraId="3AEBD60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50% Men, 50% Women</w:t>
            </w:r>
          </w:p>
        </w:tc>
      </w:tr>
      <w:tr w:rsidR="00B96700" w:rsidRPr="00AC0422" w14:paraId="7A9FDDD4" w14:textId="77777777" w:rsidTr="00391BF1">
        <w:trPr>
          <w:trHeight w:val="274"/>
        </w:trPr>
        <w:tc>
          <w:tcPr>
            <w:tcW w:w="3660" w:type="dxa"/>
            <w:tcBorders>
              <w:top w:val="nil"/>
              <w:left w:val="single" w:sz="8" w:space="0" w:color="auto"/>
              <w:bottom w:val="single" w:sz="8" w:space="0" w:color="auto"/>
              <w:right w:val="single" w:sz="4" w:space="0" w:color="auto"/>
            </w:tcBorders>
            <w:shd w:val="clear" w:color="auto" w:fill="auto"/>
            <w:vAlign w:val="center"/>
            <w:hideMark/>
          </w:tcPr>
          <w:p w14:paraId="764A5208"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Total Participants</w:t>
            </w:r>
          </w:p>
        </w:tc>
        <w:tc>
          <w:tcPr>
            <w:tcW w:w="2614" w:type="dxa"/>
            <w:tcBorders>
              <w:top w:val="nil"/>
              <w:left w:val="nil"/>
              <w:bottom w:val="single" w:sz="8" w:space="0" w:color="auto"/>
              <w:right w:val="single" w:sz="4" w:space="0" w:color="auto"/>
            </w:tcBorders>
            <w:shd w:val="clear" w:color="auto" w:fill="auto"/>
            <w:vAlign w:val="center"/>
            <w:hideMark/>
          </w:tcPr>
          <w:p w14:paraId="1C39E476"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50</w:t>
            </w:r>
          </w:p>
        </w:tc>
        <w:tc>
          <w:tcPr>
            <w:tcW w:w="3281" w:type="dxa"/>
            <w:tcBorders>
              <w:top w:val="nil"/>
              <w:left w:val="nil"/>
              <w:bottom w:val="single" w:sz="8" w:space="0" w:color="auto"/>
              <w:right w:val="single" w:sz="8" w:space="0" w:color="auto"/>
            </w:tcBorders>
            <w:shd w:val="clear" w:color="auto" w:fill="auto"/>
            <w:vAlign w:val="center"/>
            <w:hideMark/>
          </w:tcPr>
          <w:p w14:paraId="73FE3764" w14:textId="77777777" w:rsidR="00B96700" w:rsidRPr="00AC0422" w:rsidRDefault="00B96700" w:rsidP="00391BF1">
            <w:pPr>
              <w:rPr>
                <w:rFonts w:asciiTheme="minorHAnsi" w:hAnsiTheme="minorHAnsi" w:cstheme="minorHAnsi"/>
                <w:b/>
                <w:bCs/>
                <w:color w:val="000000"/>
                <w:szCs w:val="20"/>
              </w:rPr>
            </w:pPr>
            <w:r w:rsidRPr="00AC0422">
              <w:rPr>
                <w:rFonts w:asciiTheme="minorHAnsi" w:hAnsiTheme="minorHAnsi" w:cstheme="minorHAnsi"/>
                <w:b/>
                <w:bCs/>
                <w:color w:val="000000"/>
                <w:szCs w:val="20"/>
              </w:rPr>
              <w:t>50-55% Men, 45-50% Women</w:t>
            </w:r>
          </w:p>
        </w:tc>
      </w:tr>
    </w:tbl>
    <w:p w14:paraId="620DFA6F" w14:textId="77777777" w:rsidR="00B96700" w:rsidRPr="00AC0422" w:rsidRDefault="00B96700" w:rsidP="00B96700">
      <w:pPr>
        <w:spacing w:after="120"/>
        <w:ind w:right="-28"/>
        <w:rPr>
          <w:rFonts w:asciiTheme="minorHAnsi" w:hAnsiTheme="minorHAnsi" w:cstheme="minorHAnsi"/>
          <w:szCs w:val="20"/>
          <w:lang w:eastAsia="en-GB"/>
        </w:rPr>
      </w:pPr>
    </w:p>
    <w:p w14:paraId="4D4D6E3B"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These workshops will ensure that Yemen develops robust, scientifically validated, and stakeholder-endorsed climate projections, which will support climate hazard, risk, and vulnerability assessments for adaptation planning.</w:t>
      </w:r>
    </w:p>
    <w:p w14:paraId="2E8ABB94"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Key to successful downscaling will be addressing data gaps that are significant for Yemen and pose challenges for accurate downscaling of climate projections. A combination of approaches can help overcome these gaps, enabling more reliable assessments and planning for climate change adaptation.  A combination of the following approaches will be used:</w:t>
      </w:r>
    </w:p>
    <w:p w14:paraId="1B4AF70F"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Leverage Regional Climate Models (RCMs) and Reanalysis Data:</w:t>
      </w:r>
      <w:r w:rsidRPr="00AC0422">
        <w:rPr>
          <w:rFonts w:asciiTheme="minorHAnsi" w:hAnsiTheme="minorHAnsi" w:cstheme="minorHAnsi"/>
          <w:sz w:val="20"/>
          <w:szCs w:val="20"/>
          <w:lang w:val="en-GB" w:eastAsia="en-GB"/>
        </w:rPr>
        <w:t xml:space="preserve"> Use high-resolution regional climate models (RCMs) that simulate climate processes at finer spatial scales.</w:t>
      </w:r>
    </w:p>
    <w:p w14:paraId="25F4A935" w14:textId="77777777" w:rsidR="00B96700" w:rsidRPr="00AC0422" w:rsidRDefault="00B96700" w:rsidP="005D2C02">
      <w:pPr>
        <w:numPr>
          <w:ilvl w:val="0"/>
          <w:numId w:val="40"/>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Utilize publicly available RCM outputs, such as those from the Coordinated Regional Downscaling Experiment (CORDEX), which provides data for the Middle East and North Africa (MENA) region.</w:t>
      </w:r>
    </w:p>
    <w:p w14:paraId="360C16EB" w14:textId="77777777" w:rsidR="00B96700" w:rsidRPr="00AC0422" w:rsidRDefault="00B96700" w:rsidP="005D2C02">
      <w:pPr>
        <w:numPr>
          <w:ilvl w:val="0"/>
          <w:numId w:val="40"/>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Supplement with reanalysis datasets (e.g., ERA5, MERRA-2), which combine observations with model outputs to fill gaps in historical climate data.</w:t>
      </w:r>
    </w:p>
    <w:p w14:paraId="08D805D9"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This approach provides region-specific insights even in data-scarce areas and reduces reliance on local observation networks.</w:t>
      </w:r>
    </w:p>
    <w:p w14:paraId="62650C74"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 xml:space="preserve">Develop Hybrid Statistical-Dynamical Downscaling Models: </w:t>
      </w:r>
      <w:r w:rsidRPr="00AC0422">
        <w:rPr>
          <w:rFonts w:asciiTheme="minorHAnsi" w:hAnsiTheme="minorHAnsi" w:cstheme="minorHAnsi"/>
          <w:sz w:val="20"/>
          <w:szCs w:val="20"/>
          <w:lang w:val="en-GB" w:eastAsia="en-GB"/>
        </w:rPr>
        <w:t>Combine dynamical models with statistical methods to refine projections using available local data</w:t>
      </w:r>
      <w:r w:rsidRPr="00AC0422">
        <w:rPr>
          <w:rFonts w:asciiTheme="minorHAnsi" w:hAnsiTheme="minorHAnsi" w:cstheme="minorHAnsi"/>
          <w:b/>
          <w:bCs/>
          <w:sz w:val="20"/>
          <w:szCs w:val="20"/>
          <w:lang w:val="en-GB" w:eastAsia="en-GB"/>
        </w:rPr>
        <w:t>.</w:t>
      </w:r>
    </w:p>
    <w:p w14:paraId="599BA7F0" w14:textId="77777777" w:rsidR="00B96700" w:rsidRPr="00AC0422" w:rsidRDefault="00B96700" w:rsidP="005D2C02">
      <w:pPr>
        <w:numPr>
          <w:ilvl w:val="0"/>
          <w:numId w:val="41"/>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Use dynamic models to generate large-scale climate projections.</w:t>
      </w:r>
    </w:p>
    <w:p w14:paraId="43868E4F" w14:textId="77777777" w:rsidR="00B96700" w:rsidRPr="00AC0422" w:rsidRDefault="00B96700" w:rsidP="005D2C02">
      <w:pPr>
        <w:numPr>
          <w:ilvl w:val="0"/>
          <w:numId w:val="41"/>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Apply statistical relationships (e.g., regression models, machine learning) to downscale projections based on sparse local observational data.</w:t>
      </w:r>
    </w:p>
    <w:p w14:paraId="1C0E4AA9"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This approach enhances precision by accounting for local climate drivers and is useful for bridging data gaps when observational datasets are incomplete.</w:t>
      </w:r>
    </w:p>
    <w:p w14:paraId="6B5306B0"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 xml:space="preserve">Satellite-Based Observations: </w:t>
      </w:r>
      <w:r w:rsidRPr="00AC0422">
        <w:rPr>
          <w:rFonts w:asciiTheme="minorHAnsi" w:hAnsiTheme="minorHAnsi" w:cstheme="minorHAnsi"/>
          <w:sz w:val="20"/>
          <w:szCs w:val="20"/>
          <w:lang w:val="en-GB" w:eastAsia="en-GB"/>
        </w:rPr>
        <w:t>Use satellite data to supplement or replace ground-based observations.</w:t>
      </w:r>
    </w:p>
    <w:p w14:paraId="6B349136" w14:textId="77777777" w:rsidR="00B96700" w:rsidRPr="00AC0422" w:rsidRDefault="00B96700" w:rsidP="005D2C02">
      <w:pPr>
        <w:numPr>
          <w:ilvl w:val="0"/>
          <w:numId w:val="42"/>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Leverage remote sensing platforms like NASA’s MODIS or ESA’s Sentinel for temperature, precipitation, and land surface data.</w:t>
      </w:r>
    </w:p>
    <w:p w14:paraId="5AB3A772" w14:textId="77777777" w:rsidR="00B96700" w:rsidRPr="00AC0422" w:rsidRDefault="00B96700" w:rsidP="005D2C02">
      <w:pPr>
        <w:numPr>
          <w:ilvl w:val="0"/>
          <w:numId w:val="42"/>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Use satellite-derived products for hydrological parameters such as soil moisture, evapotranspiration, and vegetation health.</w:t>
      </w:r>
    </w:p>
    <w:p w14:paraId="392BB0BB"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This approach is beneficial for covering remote or conflict-affected areas where ground stations are non-functional and provides consistent and spatially comprehensive datasets.</w:t>
      </w:r>
    </w:p>
    <w:p w14:paraId="5C27DA7C"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 xml:space="preserve">Use Proxy Data: </w:t>
      </w:r>
      <w:r w:rsidRPr="00AC0422">
        <w:rPr>
          <w:rFonts w:asciiTheme="minorHAnsi" w:hAnsiTheme="minorHAnsi" w:cstheme="minorHAnsi"/>
          <w:sz w:val="20"/>
          <w:szCs w:val="20"/>
          <w:lang w:val="en-GB" w:eastAsia="en-GB"/>
        </w:rPr>
        <w:t>Use alternative datasets as proxies for unavailable data</w:t>
      </w:r>
      <w:r w:rsidRPr="00AC0422">
        <w:rPr>
          <w:rFonts w:asciiTheme="minorHAnsi" w:hAnsiTheme="minorHAnsi" w:cstheme="minorHAnsi"/>
          <w:b/>
          <w:bCs/>
          <w:sz w:val="20"/>
          <w:szCs w:val="20"/>
          <w:lang w:val="en-GB" w:eastAsia="en-GB"/>
        </w:rPr>
        <w:t>.</w:t>
      </w:r>
    </w:p>
    <w:p w14:paraId="7FF5BE1B" w14:textId="77777777" w:rsidR="00B96700" w:rsidRPr="00AC0422" w:rsidRDefault="00B96700" w:rsidP="005D2C02">
      <w:pPr>
        <w:numPr>
          <w:ilvl w:val="0"/>
          <w:numId w:val="45"/>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Substitute missing rainfall data with river discharge or soil moisture indices.</w:t>
      </w:r>
    </w:p>
    <w:p w14:paraId="118B03B4" w14:textId="77777777" w:rsidR="00B96700" w:rsidRPr="00AC0422" w:rsidRDefault="00B96700" w:rsidP="005D2C02">
      <w:pPr>
        <w:numPr>
          <w:ilvl w:val="0"/>
          <w:numId w:val="45"/>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Use vegetation indices as proxies for climate impacts on ecosystems</w:t>
      </w:r>
    </w:p>
    <w:p w14:paraId="1D19C777"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This approach will help bridge short-term data gaps without compromising analysis quality and enables cross-validation with other datasets.</w:t>
      </w:r>
    </w:p>
    <w:p w14:paraId="0105E71E"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 xml:space="preserve">Historical Data Reconstruction: </w:t>
      </w:r>
      <w:r w:rsidRPr="00AC0422">
        <w:rPr>
          <w:rFonts w:asciiTheme="minorHAnsi" w:hAnsiTheme="minorHAnsi" w:cstheme="minorHAnsi"/>
          <w:sz w:val="20"/>
          <w:szCs w:val="20"/>
          <w:lang w:val="en-GB" w:eastAsia="en-GB"/>
        </w:rPr>
        <w:t>Reconstruct missing historical climate data using statistical and machine learning techniques</w:t>
      </w:r>
      <w:r w:rsidRPr="00AC0422">
        <w:rPr>
          <w:rFonts w:asciiTheme="minorHAnsi" w:hAnsiTheme="minorHAnsi" w:cstheme="minorHAnsi"/>
          <w:b/>
          <w:bCs/>
          <w:sz w:val="20"/>
          <w:szCs w:val="20"/>
          <w:lang w:val="en-GB" w:eastAsia="en-GB"/>
        </w:rPr>
        <w:t>.</w:t>
      </w:r>
    </w:p>
    <w:p w14:paraId="5A8016EE" w14:textId="77777777" w:rsidR="00B96700" w:rsidRPr="00AC0422" w:rsidRDefault="00B96700" w:rsidP="005D2C02">
      <w:pPr>
        <w:numPr>
          <w:ilvl w:val="0"/>
          <w:numId w:val="46"/>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Use data interpolation methods to estimate missing values in time series.</w:t>
      </w:r>
    </w:p>
    <w:p w14:paraId="7EFC88AB" w14:textId="77777777" w:rsidR="00B96700" w:rsidRPr="00AC0422" w:rsidRDefault="00B96700" w:rsidP="005D2C02">
      <w:pPr>
        <w:numPr>
          <w:ilvl w:val="0"/>
          <w:numId w:val="46"/>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lastRenderedPageBreak/>
        <w:t>Apply machine learning algorithms (e.g., neural networks) to fill spatial and temporal gaps in historical datasets.</w:t>
      </w:r>
    </w:p>
    <w:p w14:paraId="3913F61E"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This would provide a baseline for validating projections and understanding historical trends and is useful for areas with partial or inconsistent records.</w:t>
      </w:r>
    </w:p>
    <w:p w14:paraId="4DD5A940"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Scenario-Based Approaches: Use multiple climate scenarios (RCPs/SSPs) to account for uncertainties due to data gaps.</w:t>
      </w:r>
    </w:p>
    <w:p w14:paraId="18CAD99D" w14:textId="77777777" w:rsidR="00B96700" w:rsidRPr="00AC0422" w:rsidRDefault="00B96700" w:rsidP="005D2C02">
      <w:pPr>
        <w:numPr>
          <w:ilvl w:val="0"/>
          <w:numId w:val="47"/>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Simulate a range of scenarios using global and regional models to provide a spectrum of potential climate outcomes.</w:t>
      </w:r>
    </w:p>
    <w:p w14:paraId="390B1BF3" w14:textId="77777777" w:rsidR="00B96700" w:rsidRPr="00AC0422" w:rsidRDefault="00B96700" w:rsidP="005D2C02">
      <w:pPr>
        <w:numPr>
          <w:ilvl w:val="0"/>
          <w:numId w:val="47"/>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Focus on scenario-based planning to address the range of uncertainties.</w:t>
      </w:r>
    </w:p>
    <w:p w14:paraId="7A3C10CA"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This approach supports decision-making despite data limitations and provides robust insights for long-term planning. </w:t>
      </w:r>
    </w:p>
    <w:p w14:paraId="6D5D1B94"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 xml:space="preserve">Enhance Regional Data-Sharing Mechanisms: </w:t>
      </w:r>
      <w:r w:rsidRPr="00AC0422">
        <w:rPr>
          <w:rFonts w:asciiTheme="minorHAnsi" w:hAnsiTheme="minorHAnsi" w:cstheme="minorHAnsi"/>
          <w:sz w:val="20"/>
          <w:szCs w:val="20"/>
          <w:lang w:val="en-GB" w:eastAsia="en-GB"/>
        </w:rPr>
        <w:t>Collaborate with neighbouring countries and regional bodies to share climate and hydrological data.</w:t>
      </w:r>
    </w:p>
    <w:p w14:paraId="27F7E2E5" w14:textId="77777777" w:rsidR="00B96700" w:rsidRPr="00AC0422" w:rsidRDefault="00B96700" w:rsidP="005D2C02">
      <w:pPr>
        <w:numPr>
          <w:ilvl w:val="0"/>
          <w:numId w:val="48"/>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Establish data-sharing agreements with Gulf Cooperation Council (GCC) states or other MENA countries.</w:t>
      </w:r>
    </w:p>
    <w:p w14:paraId="6BC834D8" w14:textId="77777777" w:rsidR="00B96700" w:rsidRPr="00AC0422" w:rsidRDefault="00B96700" w:rsidP="005D2C02">
      <w:pPr>
        <w:numPr>
          <w:ilvl w:val="0"/>
          <w:numId w:val="48"/>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Participate in regional climate initiatives to gain access to collective datasets and tools.</w:t>
      </w:r>
    </w:p>
    <w:p w14:paraId="7AA03182"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This approach would improve data availability for transboundary climate issues and strengthen regional cooperation on climate adaptation.</w:t>
      </w:r>
    </w:p>
    <w:p w14:paraId="6E984FC5" w14:textId="77777777" w:rsidR="00B96700" w:rsidRPr="00AC0422" w:rsidRDefault="00B96700" w:rsidP="005D2C02">
      <w:pPr>
        <w:pStyle w:val="ListParagraph"/>
        <w:numPr>
          <w:ilvl w:val="0"/>
          <w:numId w:val="44"/>
        </w:numPr>
        <w:spacing w:after="120"/>
        <w:ind w:right="-28"/>
        <w:contextualSpacing/>
        <w:rPr>
          <w:rFonts w:asciiTheme="minorHAnsi" w:hAnsiTheme="minorHAnsi" w:cstheme="minorHAnsi"/>
          <w:b/>
          <w:bCs/>
          <w:sz w:val="20"/>
          <w:szCs w:val="20"/>
          <w:lang w:val="en-GB" w:eastAsia="en-GB"/>
        </w:rPr>
      </w:pPr>
      <w:r w:rsidRPr="00AC0422">
        <w:rPr>
          <w:rFonts w:asciiTheme="minorHAnsi" w:hAnsiTheme="minorHAnsi" w:cstheme="minorHAnsi"/>
          <w:b/>
          <w:bCs/>
          <w:sz w:val="20"/>
          <w:szCs w:val="20"/>
          <w:lang w:val="en-GB" w:eastAsia="en-GB"/>
        </w:rPr>
        <w:t xml:space="preserve">Engage International Meteorological Institutions: </w:t>
      </w:r>
      <w:r w:rsidRPr="00AC0422">
        <w:rPr>
          <w:rFonts w:asciiTheme="minorHAnsi" w:hAnsiTheme="minorHAnsi" w:cstheme="minorHAnsi"/>
          <w:sz w:val="20"/>
          <w:szCs w:val="20"/>
          <w:lang w:val="en-GB" w:eastAsia="en-GB"/>
        </w:rPr>
        <w:t xml:space="preserve">Collaborate with international climate research </w:t>
      </w:r>
      <w:proofErr w:type="spellStart"/>
      <w:r w:rsidRPr="00AC0422">
        <w:rPr>
          <w:rFonts w:asciiTheme="minorHAnsi" w:hAnsiTheme="minorHAnsi" w:cstheme="minorHAnsi"/>
          <w:sz w:val="20"/>
          <w:szCs w:val="20"/>
          <w:lang w:val="en-GB" w:eastAsia="en-GB"/>
        </w:rPr>
        <w:t>centers</w:t>
      </w:r>
      <w:proofErr w:type="spellEnd"/>
      <w:r w:rsidRPr="00AC0422">
        <w:rPr>
          <w:rFonts w:asciiTheme="minorHAnsi" w:hAnsiTheme="minorHAnsi" w:cstheme="minorHAnsi"/>
          <w:sz w:val="20"/>
          <w:szCs w:val="20"/>
          <w:lang w:val="en-GB" w:eastAsia="en-GB"/>
        </w:rPr>
        <w:t xml:space="preserve"> and meteorological organizations to access expertise and data (see Activity 3.2.2.1d).</w:t>
      </w:r>
    </w:p>
    <w:p w14:paraId="64392908" w14:textId="77777777" w:rsidR="00B96700" w:rsidRPr="00AC0422" w:rsidRDefault="00B96700" w:rsidP="005D2C02">
      <w:pPr>
        <w:numPr>
          <w:ilvl w:val="0"/>
          <w:numId w:val="43"/>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Establish partnerships with organizations like the World Meteorological Organization (WMO) or regional climate </w:t>
      </w:r>
      <w:proofErr w:type="spellStart"/>
      <w:r w:rsidRPr="00AC0422">
        <w:rPr>
          <w:rFonts w:asciiTheme="minorHAnsi" w:hAnsiTheme="minorHAnsi" w:cstheme="minorHAnsi"/>
          <w:szCs w:val="20"/>
          <w:lang w:val="en-GB" w:eastAsia="en-GB"/>
        </w:rPr>
        <w:t>centers</w:t>
      </w:r>
      <w:proofErr w:type="spellEnd"/>
      <w:r w:rsidRPr="00AC0422">
        <w:rPr>
          <w:rFonts w:asciiTheme="minorHAnsi" w:hAnsiTheme="minorHAnsi" w:cstheme="minorHAnsi"/>
          <w:szCs w:val="20"/>
          <w:lang w:val="en-GB" w:eastAsia="en-GB"/>
        </w:rPr>
        <w:t>.</w:t>
      </w:r>
    </w:p>
    <w:p w14:paraId="7FE80A78" w14:textId="77777777" w:rsidR="00B96700" w:rsidRPr="00AC0422" w:rsidRDefault="00B96700" w:rsidP="005D2C02">
      <w:pPr>
        <w:numPr>
          <w:ilvl w:val="0"/>
          <w:numId w:val="43"/>
        </w:numPr>
        <w:spacing w:after="120"/>
        <w:ind w:right="-28"/>
        <w:jc w:val="left"/>
        <w:rPr>
          <w:rFonts w:asciiTheme="minorHAnsi" w:hAnsiTheme="minorHAnsi" w:cstheme="minorHAnsi"/>
          <w:szCs w:val="20"/>
          <w:lang w:val="en-GB" w:eastAsia="en-GB"/>
        </w:rPr>
      </w:pPr>
      <w:r w:rsidRPr="00AC0422">
        <w:rPr>
          <w:rFonts w:asciiTheme="minorHAnsi" w:hAnsiTheme="minorHAnsi" w:cstheme="minorHAnsi"/>
          <w:szCs w:val="20"/>
          <w:lang w:val="en-GB" w:eastAsia="en-GB"/>
        </w:rPr>
        <w:t>Use their resources, including data-sharing platforms and technical expertise, to improve projections.</w:t>
      </w:r>
    </w:p>
    <w:p w14:paraId="03E69363" w14:textId="77777777" w:rsidR="00B96700" w:rsidRPr="00AC0422" w:rsidRDefault="00B96700" w:rsidP="00B96700">
      <w:pPr>
        <w:spacing w:after="120"/>
        <w:ind w:right="-28"/>
        <w:rPr>
          <w:rFonts w:asciiTheme="minorHAnsi" w:hAnsiTheme="minorHAnsi" w:cstheme="minorHAnsi"/>
          <w:szCs w:val="20"/>
          <w:rtl/>
          <w:lang w:val="en-GB" w:eastAsia="en-GB" w:bidi="ar-YE"/>
        </w:rPr>
      </w:pPr>
      <w:r w:rsidRPr="00AC0422">
        <w:rPr>
          <w:rFonts w:asciiTheme="minorHAnsi" w:hAnsiTheme="minorHAnsi" w:cstheme="minorHAnsi"/>
          <w:szCs w:val="20"/>
          <w:lang w:val="en-GB" w:eastAsia="en-GB"/>
        </w:rPr>
        <w:t>This approach provides access to high-quality data and models developed for the MENA region and capacity building for local institutions in using advanced tools.</w:t>
      </w:r>
    </w:p>
    <w:p w14:paraId="3FB0DEC2"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b/>
          <w:bCs/>
          <w:szCs w:val="20"/>
          <w:lang w:val="en-GB" w:eastAsia="en-GB"/>
        </w:rPr>
        <w:t>Procurement of Climate Data for climate project downscaling</w:t>
      </w:r>
    </w:p>
    <w:p w14:paraId="7F5E8F3D" w14:textId="77777777" w:rsidR="00B96700" w:rsidRPr="00AC0422" w:rsidRDefault="00B96700" w:rsidP="00B96700">
      <w:pPr>
        <w:tabs>
          <w:tab w:val="num" w:pos="720"/>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The project will procure the required datasets to support the available historical and observational climate data.  These will include </w:t>
      </w:r>
      <w:r w:rsidRPr="00AC0422">
        <w:rPr>
          <w:rFonts w:asciiTheme="minorHAnsi" w:hAnsiTheme="minorHAnsi" w:cstheme="minorHAnsi"/>
          <w:b/>
          <w:bCs/>
          <w:i/>
          <w:iCs/>
          <w:szCs w:val="20"/>
          <w:lang w:val="en-GB" w:eastAsia="en-GB"/>
        </w:rPr>
        <w:t>high-resolution global/regional climate model</w:t>
      </w:r>
      <w:r w:rsidRPr="00AC0422">
        <w:rPr>
          <w:rFonts w:asciiTheme="minorHAnsi" w:hAnsiTheme="minorHAnsi" w:cstheme="minorHAnsi"/>
          <w:szCs w:val="20"/>
          <w:lang w:val="en-GB" w:eastAsia="en-GB"/>
        </w:rPr>
        <w:t xml:space="preserve"> (GCM/RCM) data, satellite imagery, and </w:t>
      </w:r>
      <w:r w:rsidRPr="00AC0422">
        <w:rPr>
          <w:rFonts w:asciiTheme="minorHAnsi" w:hAnsiTheme="minorHAnsi" w:cstheme="minorHAnsi"/>
          <w:b/>
          <w:bCs/>
          <w:i/>
          <w:iCs/>
          <w:szCs w:val="20"/>
          <w:lang w:val="en-GB" w:eastAsia="en-GB"/>
        </w:rPr>
        <w:t>geospatial datasets</w:t>
      </w:r>
      <w:r w:rsidRPr="00AC0422">
        <w:rPr>
          <w:rFonts w:asciiTheme="minorHAnsi" w:hAnsiTheme="minorHAnsi" w:cstheme="minorHAnsi"/>
          <w:szCs w:val="20"/>
          <w:lang w:val="en-GB" w:eastAsia="en-GB"/>
        </w:rPr>
        <w:t xml:space="preserve"> for topography, land use, and hydrology. Data from private sources may require licensing fees (e.g., commercial climate data providers or </w:t>
      </w:r>
      <w:r w:rsidRPr="00AC0422">
        <w:rPr>
          <w:rFonts w:asciiTheme="minorHAnsi" w:hAnsiTheme="minorHAnsi" w:cstheme="minorHAnsi"/>
          <w:b/>
          <w:bCs/>
          <w:i/>
          <w:iCs/>
          <w:szCs w:val="20"/>
          <w:lang w:val="en-GB" w:eastAsia="en-GB"/>
        </w:rPr>
        <w:t>satellite imagery</w:t>
      </w:r>
      <w:r w:rsidRPr="00AC0422">
        <w:rPr>
          <w:rFonts w:asciiTheme="minorHAnsi" w:hAnsiTheme="minorHAnsi" w:cstheme="minorHAnsi"/>
          <w:szCs w:val="20"/>
          <w:lang w:val="en-GB" w:eastAsia="en-GB"/>
        </w:rPr>
        <w:t xml:space="preserve"> agencies).  However, opportunities will be sought to use open-access datasets (e.g., from NASA, ESA, or CMIP6) which might reduce costs. There may be additional costs associated with </w:t>
      </w:r>
      <w:r w:rsidRPr="00AC0422">
        <w:rPr>
          <w:rFonts w:asciiTheme="minorHAnsi" w:hAnsiTheme="minorHAnsi" w:cstheme="minorHAnsi"/>
          <w:b/>
          <w:bCs/>
          <w:i/>
          <w:iCs/>
          <w:szCs w:val="20"/>
          <w:lang w:val="en-GB" w:eastAsia="en-GB"/>
        </w:rPr>
        <w:t>preprocessing raw data</w:t>
      </w:r>
      <w:r w:rsidRPr="00AC0422">
        <w:rPr>
          <w:rFonts w:asciiTheme="minorHAnsi" w:hAnsiTheme="minorHAnsi" w:cstheme="minorHAnsi"/>
          <w:szCs w:val="20"/>
          <w:lang w:val="en-GB" w:eastAsia="en-GB"/>
        </w:rPr>
        <w:t xml:space="preserve"> for model compatibility. In addition, licensing for specialized software required for downscaling (e.g., WRF, PRECIS, or statistical downscaling tools) may also have cost implications. An indicative cost breakdown for the procurement of data, pre-processing, and software is provided below.</w:t>
      </w:r>
    </w:p>
    <w:p w14:paraId="69AA2466" w14:textId="77777777" w:rsidR="00B96700" w:rsidRPr="00AC0422" w:rsidRDefault="00B96700" w:rsidP="00B96700">
      <w:pPr>
        <w:spacing w:after="120"/>
        <w:ind w:right="-28"/>
        <w:rPr>
          <w:rFonts w:asciiTheme="minorHAnsi" w:hAnsiTheme="minorHAnsi" w:cstheme="minorHAnsi"/>
          <w:i/>
          <w:iCs/>
          <w:szCs w:val="20"/>
          <w:lang w:eastAsia="en-GB"/>
        </w:rPr>
      </w:pPr>
      <w:r w:rsidRPr="00AC0422">
        <w:rPr>
          <w:rFonts w:asciiTheme="minorHAnsi" w:hAnsiTheme="minorHAnsi" w:cstheme="minorHAnsi"/>
          <w:i/>
          <w:iCs/>
          <w:szCs w:val="20"/>
          <w:lang w:eastAsia="en-GB"/>
        </w:rPr>
        <w:t xml:space="preserve">Activity 3.2.2.1b: </w:t>
      </w:r>
      <w:proofErr w:type="spellStart"/>
      <w:r w:rsidRPr="00AC0422">
        <w:rPr>
          <w:rFonts w:asciiTheme="minorHAnsi" w:hAnsiTheme="minorHAnsi" w:cstheme="minorHAnsi"/>
          <w:i/>
          <w:iCs/>
          <w:szCs w:val="20"/>
          <w:u w:val="single"/>
          <w:lang w:eastAsia="en-GB"/>
        </w:rPr>
        <w:t>i</w:t>
      </w:r>
      <w:proofErr w:type="spellEnd"/>
      <w:r w:rsidRPr="00AC0422">
        <w:rPr>
          <w:rFonts w:asciiTheme="minorHAnsi" w:hAnsiTheme="minorHAnsi" w:cstheme="minorHAnsi"/>
          <w:i/>
          <w:iCs/>
          <w:szCs w:val="20"/>
          <w:u w:val="single"/>
          <w:lang w:eastAsia="en-GB"/>
        </w:rPr>
        <w:t>) assess methodologies and data availability for modelling and mapping key the impact of climate hazards in Yemen (drought, floods and flash floods, heat and heatwaves, coastal erosion, and land degradation; ii) Depending on data availability and methodologies identified, develop indices and high level hazard maps, for at least two hazards (drought and flood and flashflood) for 4 pilot catchments.</w:t>
      </w:r>
      <w:r w:rsidRPr="00AC0422">
        <w:rPr>
          <w:rFonts w:asciiTheme="minorHAnsi" w:hAnsiTheme="minorHAnsi" w:cstheme="minorHAnsi"/>
          <w:i/>
          <w:iCs/>
          <w:szCs w:val="20"/>
          <w:lang w:eastAsia="en-GB"/>
        </w:rPr>
        <w:t xml:space="preserve"> </w:t>
      </w:r>
    </w:p>
    <w:p w14:paraId="3F434608" w14:textId="77777777" w:rsidR="00B96700" w:rsidRPr="00AC0422" w:rsidRDefault="00B96700" w:rsidP="00B96700">
      <w:pPr>
        <w:tabs>
          <w:tab w:val="num" w:pos="720"/>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eastAsia="en-GB"/>
        </w:rPr>
        <w:t xml:space="preserve">This activity aims to develop hazard indices and high-level hazard maps for the climate hazards that cause significant impacts on vulnerable communities in Yemen. The project will first </w:t>
      </w:r>
      <w:r w:rsidRPr="00AC0422">
        <w:rPr>
          <w:rFonts w:asciiTheme="minorHAnsi" w:hAnsiTheme="minorHAnsi" w:cstheme="minorHAnsi"/>
          <w:szCs w:val="20"/>
          <w:lang w:val="en-GB" w:eastAsia="en-GB"/>
        </w:rPr>
        <w:t>assess data availability and methodologies</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for modelling and mapping climate hazards, such as droughts, floods, heatwaves, and coastal erosion, to identify gaps in data availability and propose solutions, such as using satellite imagery or regional databases. The project will employ all possible methods to prioritize data accuracy and ensure the use of consistent methodologies across all catchments, including the use of local knowledge to improve historical records and collaboration with regional and international organizations to access additional datasets (among other data gap-filling approaches discussed above).</w:t>
      </w:r>
    </w:p>
    <w:p w14:paraId="12E266BE" w14:textId="77777777" w:rsidR="00B96700" w:rsidRPr="00AC0422" w:rsidRDefault="00B96700" w:rsidP="00B96700">
      <w:pPr>
        <w:tabs>
          <w:tab w:val="num" w:pos="720"/>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lastRenderedPageBreak/>
        <w:t>The desired results would be a set of hazard indices for drought based on internationally accepted parameters (e.g., Standardized Precipitation Index (SPI), Standardized Precipitation and Evapotranspiration Index (SPEI)), and where possible produce hazard maps for droughts, floods, and flash floods as a minimum, using GIS tools to develop high-level maps for the four pilot catchments. Stakeholders will be engaged throughout the process to integrate local knowledge and historical records, enhance mapping, and validate the accuracy, relevance, and applicability of the indices and maps.</w:t>
      </w:r>
    </w:p>
    <w:p w14:paraId="128C4597" w14:textId="77777777" w:rsidR="00B96700" w:rsidRPr="00AC0422" w:rsidRDefault="00B96700" w:rsidP="00B96700">
      <w:pPr>
        <w:spacing w:after="120"/>
        <w:ind w:right="-28"/>
        <w:rPr>
          <w:rFonts w:asciiTheme="minorHAnsi" w:hAnsiTheme="minorHAnsi" w:cstheme="minorHAnsi"/>
          <w:i/>
          <w:iCs/>
          <w:szCs w:val="20"/>
          <w:u w:val="single"/>
          <w:lang w:eastAsia="en-GB"/>
        </w:rPr>
      </w:pPr>
      <w:r w:rsidRPr="00AC0422">
        <w:rPr>
          <w:rFonts w:asciiTheme="minorHAnsi" w:hAnsiTheme="minorHAnsi" w:cstheme="minorHAnsi"/>
          <w:i/>
          <w:iCs/>
          <w:szCs w:val="20"/>
          <w:u w:val="single"/>
          <w:lang w:eastAsia="en-GB"/>
        </w:rPr>
        <w:t>Activity 3.2.2.1c: Develop comprehensive climate risk and vulnerability assessments for 4 priority sectors (water, agriculture, coastal zones and health) in Yemen and national climate risk and vulnerability assessments.</w:t>
      </w:r>
    </w:p>
    <w:p w14:paraId="2A567F09"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 xml:space="preserve">This activity will develop a climate risk assessment for the four priority sectors based on the downscaled climate projections and hazard modeling data to be developed in Activities 3.2.2.1.a and 3.2.2.1b above. These data will be integrated with sectoral socio-economic, environmental, and physical vulnerability data sets to assess the climate risks and vulnerability of each sector to climate change. </w:t>
      </w:r>
    </w:p>
    <w:p w14:paraId="53543331"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val="en-GB" w:eastAsia="en-GB"/>
        </w:rPr>
        <w:t>Gender-sensitive and inclusive</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b/>
          <w:bCs/>
          <w:i/>
          <w:iCs/>
          <w:szCs w:val="20"/>
          <w:lang w:val="en-GB" w:eastAsia="en-GB"/>
        </w:rPr>
        <w:t>sectoral data collection</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processes will be employed to collect and</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 xml:space="preserve">compile disaggregated socio-economic, environmental, and physical susceptibility data relevant to water, agriculture, coastal zones, and health, and will include engagement of stakeholders in each sector to understand sector-specific vulnerabilities, using participatory approaches.  </w:t>
      </w:r>
    </w:p>
    <w:p w14:paraId="603CBE1C"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b/>
          <w:bCs/>
          <w:i/>
          <w:iCs/>
          <w:szCs w:val="20"/>
          <w:lang w:val="en-GB" w:eastAsia="en-GB"/>
        </w:rPr>
        <w:t>Risk analysis</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will be conducted to assess the exposure, sensitivity, and adaptive capacity of the 4 catchments for each sector, using a standardized risk assessment framework, adapted to the Yemeni context, and incorporating local knowledge. Various standardized frameworks, recognized as international best practices, can be tailored for regional and sector-specific applications</w:t>
      </w:r>
      <w:r w:rsidRPr="00AC0422">
        <w:rPr>
          <w:rStyle w:val="FootnoteReference"/>
          <w:rFonts w:asciiTheme="minorHAnsi" w:hAnsiTheme="minorHAnsi" w:cstheme="minorHAnsi"/>
          <w:szCs w:val="20"/>
          <w:lang w:val="en-GB" w:eastAsia="en-GB"/>
        </w:rPr>
        <w:footnoteReference w:id="19"/>
      </w:r>
      <w:r w:rsidRPr="00AC0422">
        <w:rPr>
          <w:rFonts w:asciiTheme="minorHAnsi" w:hAnsiTheme="minorHAnsi" w:cstheme="minorHAnsi"/>
          <w:szCs w:val="20"/>
          <w:lang w:val="en-GB" w:eastAsia="en-GB"/>
        </w:rPr>
        <w:t xml:space="preserve"> to perform comprehensive, sector-specific risk assessments that inform targeted and effective climate adaptation strategies and plans. For example:</w:t>
      </w:r>
    </w:p>
    <w:p w14:paraId="155613D0" w14:textId="77777777" w:rsidR="00B96700" w:rsidRPr="00AC0422" w:rsidRDefault="00B96700" w:rsidP="005D2C02">
      <w:pPr>
        <w:pStyle w:val="ListParagraph"/>
        <w:numPr>
          <w:ilvl w:val="0"/>
          <w:numId w:val="49"/>
        </w:numPr>
        <w:spacing w:after="120"/>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Water Sector</w:t>
      </w:r>
      <w:r w:rsidRPr="00AC0422">
        <w:rPr>
          <w:rFonts w:asciiTheme="minorHAnsi" w:hAnsiTheme="minorHAnsi" w:cstheme="minorHAnsi"/>
          <w:sz w:val="20"/>
          <w:szCs w:val="20"/>
          <w:lang w:val="en-GB" w:eastAsia="en-GB"/>
        </w:rPr>
        <w:t>: Use the IPCC Framework combined with CRET or the World Bank Water Risk Screening Tool to address hydrological challenges.</w:t>
      </w:r>
    </w:p>
    <w:p w14:paraId="2242CBA9" w14:textId="77777777" w:rsidR="00B96700" w:rsidRPr="00AC0422" w:rsidRDefault="00B96700" w:rsidP="005D2C02">
      <w:pPr>
        <w:pStyle w:val="ListParagraph"/>
        <w:numPr>
          <w:ilvl w:val="0"/>
          <w:numId w:val="49"/>
        </w:numPr>
        <w:spacing w:after="120"/>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Agriculture</w:t>
      </w:r>
      <w:r w:rsidRPr="00AC0422">
        <w:rPr>
          <w:rFonts w:asciiTheme="minorHAnsi" w:hAnsiTheme="minorHAnsi" w:cstheme="minorHAnsi"/>
          <w:sz w:val="20"/>
          <w:szCs w:val="20"/>
          <w:lang w:val="en-GB" w:eastAsia="en-GB"/>
        </w:rPr>
        <w:t>: Apply the FAO framework for assessing crop-specific risks and food security impacts.</w:t>
      </w:r>
    </w:p>
    <w:p w14:paraId="778BD59A" w14:textId="77777777" w:rsidR="00B96700" w:rsidRPr="00AC0422" w:rsidRDefault="00B96700" w:rsidP="005D2C02">
      <w:pPr>
        <w:pStyle w:val="ListParagraph"/>
        <w:numPr>
          <w:ilvl w:val="0"/>
          <w:numId w:val="49"/>
        </w:numPr>
        <w:spacing w:after="120"/>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Coastal Zones</w:t>
      </w:r>
      <w:r w:rsidRPr="00AC0422">
        <w:rPr>
          <w:rFonts w:asciiTheme="minorHAnsi" w:hAnsiTheme="minorHAnsi" w:cstheme="minorHAnsi"/>
          <w:sz w:val="20"/>
          <w:szCs w:val="20"/>
          <w:lang w:val="en-GB" w:eastAsia="en-GB"/>
        </w:rPr>
        <w:t>: Leverage the Coastal Hazard Wheel Framework and ICZM guidelines to address sea-level rise and storm surges.</w:t>
      </w:r>
    </w:p>
    <w:p w14:paraId="4A8E7286" w14:textId="77777777" w:rsidR="00B96700" w:rsidRPr="00AC0422" w:rsidRDefault="00B96700" w:rsidP="005D2C02">
      <w:pPr>
        <w:pStyle w:val="ListParagraph"/>
        <w:numPr>
          <w:ilvl w:val="0"/>
          <w:numId w:val="49"/>
        </w:numPr>
        <w:spacing w:after="120"/>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Health</w:t>
      </w:r>
      <w:r w:rsidRPr="00AC0422">
        <w:rPr>
          <w:rFonts w:asciiTheme="minorHAnsi" w:hAnsiTheme="minorHAnsi" w:cstheme="minorHAnsi"/>
          <w:sz w:val="20"/>
          <w:szCs w:val="20"/>
          <w:lang w:val="en-GB" w:eastAsia="en-GB"/>
        </w:rPr>
        <w:t xml:space="preserve">: Use the WHO framework to strengthen climate resilience in Yemen’s health systems. </w:t>
      </w:r>
    </w:p>
    <w:p w14:paraId="55CC6900" w14:textId="77777777" w:rsidR="00B96700" w:rsidRPr="00AC0422" w:rsidRDefault="00B96700" w:rsidP="00B96700">
      <w:pPr>
        <w:pStyle w:val="ListParagraph"/>
        <w:spacing w:after="120"/>
        <w:ind w:right="-28"/>
        <w:rPr>
          <w:rFonts w:asciiTheme="minorHAnsi" w:hAnsiTheme="minorHAnsi" w:cstheme="minorHAnsi"/>
          <w:sz w:val="20"/>
          <w:szCs w:val="20"/>
          <w:lang w:val="en-GB" w:eastAsia="en-GB"/>
        </w:rPr>
      </w:pPr>
    </w:p>
    <w:p w14:paraId="1DE51B8A"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Once the climate risk and vulnerability studies are conducted for the four pilot catchments, their findings will be synthesized and scaled to inform broader national adaptation planning through the following mechanisms:</w:t>
      </w:r>
    </w:p>
    <w:p w14:paraId="795E3E3E" w14:textId="77777777" w:rsidR="00B96700" w:rsidRPr="00AC0422" w:rsidRDefault="00B96700" w:rsidP="005D2C02">
      <w:pPr>
        <w:pStyle w:val="ListParagraph"/>
        <w:numPr>
          <w:ilvl w:val="0"/>
          <w:numId w:val="75"/>
        </w:numPr>
        <w:spacing w:after="120" w:line="259" w:lineRule="auto"/>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Comparative Analysis and Extrapolation:</w:t>
      </w:r>
      <w:r w:rsidRPr="00AC0422">
        <w:rPr>
          <w:rFonts w:asciiTheme="minorHAnsi" w:hAnsiTheme="minorHAnsi" w:cstheme="minorHAnsi"/>
          <w:sz w:val="20"/>
          <w:szCs w:val="20"/>
          <w:lang w:val="en-GB" w:eastAsia="en-GB"/>
        </w:rPr>
        <w:t xml:space="preserve"> The pilot studies will generate region-specific risk factors, which will be used to develop predictive models for similar regions across Yemen. Key climate indicators such as temperature variability, precipitation patterns, extreme event frequencies, and ecosystem stressors will be </w:t>
      </w:r>
      <w:proofErr w:type="spellStart"/>
      <w:r w:rsidRPr="00AC0422">
        <w:rPr>
          <w:rFonts w:asciiTheme="minorHAnsi" w:hAnsiTheme="minorHAnsi" w:cstheme="minorHAnsi"/>
          <w:sz w:val="20"/>
          <w:szCs w:val="20"/>
          <w:lang w:val="en-GB" w:eastAsia="en-GB"/>
        </w:rPr>
        <w:t>analyzed</w:t>
      </w:r>
      <w:proofErr w:type="spellEnd"/>
      <w:r w:rsidRPr="00AC0422">
        <w:rPr>
          <w:rFonts w:asciiTheme="minorHAnsi" w:hAnsiTheme="minorHAnsi" w:cstheme="minorHAnsi"/>
          <w:sz w:val="20"/>
          <w:szCs w:val="20"/>
          <w:lang w:val="en-GB" w:eastAsia="en-GB"/>
        </w:rPr>
        <w:t xml:space="preserve"> and applied to non-pilot areas using statistical extrapolation.</w:t>
      </w:r>
    </w:p>
    <w:p w14:paraId="2F86CACF" w14:textId="77777777" w:rsidR="00B96700" w:rsidRPr="00AC0422" w:rsidRDefault="00B96700" w:rsidP="005D2C02">
      <w:pPr>
        <w:pStyle w:val="ListParagraph"/>
        <w:numPr>
          <w:ilvl w:val="0"/>
          <w:numId w:val="75"/>
        </w:numPr>
        <w:spacing w:after="120" w:line="259" w:lineRule="auto"/>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Integration into the National Adaptation Plan (NAP):</w:t>
      </w:r>
      <w:r w:rsidRPr="00AC0422">
        <w:rPr>
          <w:rFonts w:asciiTheme="minorHAnsi" w:hAnsiTheme="minorHAnsi" w:cstheme="minorHAnsi"/>
          <w:sz w:val="20"/>
          <w:szCs w:val="20"/>
          <w:lang w:val="en-GB" w:eastAsia="en-GB"/>
        </w:rPr>
        <w:t xml:space="preserve"> The insights gained from the pilot catchments will inform Yemen’s sectoral adaptation strategies, particularly for water resource management, agriculture resilience, and coastal protection. The risk maps and vulnerability assessments will be used to prioritize adaptation actions in Yemen’s National Adaptation Plan (NAP), ensuring that climate risks are well-understood at different geographical scales.</w:t>
      </w:r>
    </w:p>
    <w:p w14:paraId="611F2B75" w14:textId="77777777" w:rsidR="00B96700" w:rsidRPr="00AC0422" w:rsidRDefault="00B96700" w:rsidP="005D2C02">
      <w:pPr>
        <w:pStyle w:val="ListParagraph"/>
        <w:numPr>
          <w:ilvl w:val="0"/>
          <w:numId w:val="75"/>
        </w:numPr>
        <w:spacing w:after="120" w:line="259" w:lineRule="auto"/>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Development of a National Climate Hazard Mapping System:</w:t>
      </w:r>
      <w:r w:rsidRPr="00AC0422">
        <w:rPr>
          <w:rFonts w:asciiTheme="minorHAnsi" w:hAnsiTheme="minorHAnsi" w:cstheme="minorHAnsi"/>
          <w:sz w:val="20"/>
          <w:szCs w:val="20"/>
          <w:lang w:val="en-GB" w:eastAsia="en-GB"/>
        </w:rPr>
        <w:t xml:space="preserve"> The GIS-based climate risk maps developed for the pilot areas will form the basis of a national climate hazard mapping system, which will help identify priority regions for adaptation investments. By establishing a standardized methodology for climate risk assessments, Yemen will be able to conduct periodic updates using new data sources as they become available.</w:t>
      </w:r>
    </w:p>
    <w:p w14:paraId="03D3138E" w14:textId="77777777" w:rsidR="00B96700" w:rsidRPr="00AC0422" w:rsidRDefault="00B96700" w:rsidP="005D2C02">
      <w:pPr>
        <w:pStyle w:val="ListParagraph"/>
        <w:numPr>
          <w:ilvl w:val="0"/>
          <w:numId w:val="75"/>
        </w:numPr>
        <w:spacing w:after="120" w:line="259" w:lineRule="auto"/>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lastRenderedPageBreak/>
        <w:t xml:space="preserve">Incorporation into Climate Finance and Project Development: </w:t>
      </w:r>
      <w:r w:rsidRPr="00AC0422">
        <w:rPr>
          <w:rFonts w:asciiTheme="minorHAnsi" w:hAnsiTheme="minorHAnsi" w:cstheme="minorHAnsi"/>
          <w:sz w:val="20"/>
          <w:szCs w:val="20"/>
          <w:lang w:val="en-GB" w:eastAsia="en-GB"/>
        </w:rPr>
        <w:t>The data from the pilot catchments will provide evidence-based justifications for climate finance proposals, supporting grant applications to the Green Climate Fund (GCF), Adaptation Fund, and bilateral donors. These assessments will also guide the design of future adaptation projects, ensuring that funding is directed to high-risk areas with scientifically validated adaptation priorities.</w:t>
      </w:r>
    </w:p>
    <w:p w14:paraId="53A1DF37" w14:textId="77777777" w:rsidR="00B96700" w:rsidRPr="00AC0422" w:rsidRDefault="00B96700" w:rsidP="005D2C02">
      <w:pPr>
        <w:pStyle w:val="ListParagraph"/>
        <w:numPr>
          <w:ilvl w:val="0"/>
          <w:numId w:val="75"/>
        </w:numPr>
        <w:spacing w:after="120" w:line="259" w:lineRule="auto"/>
        <w:ind w:right="-28"/>
        <w:contextualSpacing/>
        <w:rPr>
          <w:rFonts w:asciiTheme="minorHAnsi" w:hAnsiTheme="minorHAnsi" w:cstheme="minorHAnsi"/>
          <w:sz w:val="20"/>
          <w:szCs w:val="20"/>
          <w:lang w:val="en-GB" w:eastAsia="en-GB"/>
        </w:rPr>
      </w:pPr>
      <w:r w:rsidRPr="00AC0422">
        <w:rPr>
          <w:rFonts w:asciiTheme="minorHAnsi" w:hAnsiTheme="minorHAnsi" w:cstheme="minorHAnsi"/>
          <w:i/>
          <w:iCs/>
          <w:sz w:val="20"/>
          <w:szCs w:val="20"/>
          <w:lang w:val="en-GB" w:eastAsia="en-GB"/>
        </w:rPr>
        <w:t>Capacity-Building and Replication for Future Studies:</w:t>
      </w:r>
      <w:r w:rsidRPr="00AC0422">
        <w:rPr>
          <w:rFonts w:asciiTheme="minorHAnsi" w:hAnsiTheme="minorHAnsi" w:cstheme="minorHAnsi"/>
          <w:sz w:val="20"/>
          <w:szCs w:val="20"/>
          <w:lang w:val="en-GB" w:eastAsia="en-GB"/>
        </w:rPr>
        <w:t xml:space="preserve"> Training materials and methodologies developed during the pilot studies will be used for national capacity-building efforts. Government institutions, universities, and research </w:t>
      </w:r>
      <w:proofErr w:type="spellStart"/>
      <w:r w:rsidRPr="00AC0422">
        <w:rPr>
          <w:rFonts w:asciiTheme="minorHAnsi" w:hAnsiTheme="minorHAnsi" w:cstheme="minorHAnsi"/>
          <w:sz w:val="20"/>
          <w:szCs w:val="20"/>
          <w:lang w:val="en-GB" w:eastAsia="en-GB"/>
        </w:rPr>
        <w:t>centers</w:t>
      </w:r>
      <w:proofErr w:type="spellEnd"/>
      <w:r w:rsidRPr="00AC0422">
        <w:rPr>
          <w:rFonts w:asciiTheme="minorHAnsi" w:hAnsiTheme="minorHAnsi" w:cstheme="minorHAnsi"/>
          <w:sz w:val="20"/>
          <w:szCs w:val="20"/>
          <w:lang w:val="en-GB" w:eastAsia="en-GB"/>
        </w:rPr>
        <w:t xml:space="preserve"> will be equipped with guidelines and tools to conduct similar climate risk studies in other catchments.</w:t>
      </w:r>
    </w:p>
    <w:p w14:paraId="03FD1667"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Focusing on these four pilot catchments provides a pragmatic approach to climate risk and vulnerability assessments in Yemen, balancing data limitations, capacity constraints, and the need for regionally tailored adaptation solutions. Moreover, the four pilot catchments are highly representative of Yemen’s broader climate challenges, making them ideal for modelling climate risk and adaptation needs. By scaling insights from the pilot studies, a national climate risk assessment will be developed using extrapolation techniques and scenario modelling and the methodologies, climate models, and risk assessments piloted in these catchments will be applied to other regions in Yemen with similar climatic conditions. Given that nearly 40% of the population lives in these catchments, adaptation actions based on pilot findings will directly benefit a large segment of the Yemeni population. By leveraging insights from these pilots, and scaling up climate risk assessments nationwide, the project will ensure that adaptation strategies are informed by reliable, localized climate projections.</w:t>
      </w:r>
    </w:p>
    <w:p w14:paraId="1F512398" w14:textId="77777777" w:rsidR="00B96700" w:rsidRPr="00AC0422" w:rsidRDefault="00B96700" w:rsidP="00B96700">
      <w:pPr>
        <w:pStyle w:val="ListParagraph"/>
        <w:spacing w:after="120"/>
        <w:ind w:left="0" w:right="-28"/>
        <w:rPr>
          <w:rFonts w:asciiTheme="minorHAnsi" w:hAnsiTheme="minorHAnsi" w:cstheme="minorHAnsi"/>
          <w:sz w:val="20"/>
          <w:szCs w:val="20"/>
          <w:lang w:val="en-GB" w:eastAsia="en-GB"/>
        </w:rPr>
      </w:pPr>
      <w:r w:rsidRPr="00AC0422">
        <w:rPr>
          <w:rFonts w:asciiTheme="minorHAnsi" w:hAnsiTheme="minorHAnsi" w:cstheme="minorHAnsi"/>
          <w:sz w:val="20"/>
          <w:szCs w:val="20"/>
          <w:lang w:val="en-GB" w:eastAsia="en-GB"/>
        </w:rPr>
        <w:t xml:space="preserve">Based on the results of the risk analysis, </w:t>
      </w:r>
      <w:r w:rsidRPr="00AC0422">
        <w:rPr>
          <w:rFonts w:asciiTheme="minorHAnsi" w:hAnsiTheme="minorHAnsi" w:cstheme="minorHAnsi"/>
          <w:b/>
          <w:bCs/>
          <w:i/>
          <w:iCs/>
          <w:sz w:val="20"/>
          <w:szCs w:val="20"/>
          <w:lang w:val="en-GB" w:eastAsia="en-GB"/>
        </w:rPr>
        <w:t>sectoral risk profiles</w:t>
      </w:r>
      <w:r w:rsidRPr="00AC0422">
        <w:rPr>
          <w:rFonts w:asciiTheme="minorHAnsi" w:hAnsiTheme="minorHAnsi" w:cstheme="minorHAnsi"/>
          <w:sz w:val="20"/>
          <w:szCs w:val="20"/>
          <w:lang w:val="en-GB" w:eastAsia="en-GB"/>
        </w:rPr>
        <w:t xml:space="preserve"> developed for each sector, highlighting priority adaptation needs and recommendations, will be shared with stakeholders for feedback and validation. Finalized comprehensive first-order </w:t>
      </w:r>
      <w:r w:rsidRPr="00AC0422">
        <w:rPr>
          <w:rFonts w:asciiTheme="minorHAnsi" w:hAnsiTheme="minorHAnsi" w:cstheme="minorHAnsi"/>
          <w:b/>
          <w:bCs/>
          <w:i/>
          <w:iCs/>
          <w:sz w:val="20"/>
          <w:szCs w:val="20"/>
          <w:lang w:val="en-GB" w:eastAsia="en-GB"/>
        </w:rPr>
        <w:t>sectoral climate risk assessments</w:t>
      </w:r>
      <w:r w:rsidRPr="00AC0422">
        <w:rPr>
          <w:rFonts w:asciiTheme="minorHAnsi" w:hAnsiTheme="minorHAnsi" w:cstheme="minorHAnsi"/>
          <w:sz w:val="20"/>
          <w:szCs w:val="20"/>
          <w:lang w:val="en-GB" w:eastAsia="en-GB"/>
        </w:rPr>
        <w:t xml:space="preserve"> will be published on the NAP Portal (to be developed under Activity 3.2,2,2).</w:t>
      </w:r>
    </w:p>
    <w:p w14:paraId="06CF3E36" w14:textId="77777777" w:rsidR="00B96700" w:rsidRPr="00AC0422" w:rsidRDefault="00B96700" w:rsidP="00B96700">
      <w:pPr>
        <w:spacing w:after="120"/>
        <w:ind w:right="-28"/>
        <w:rPr>
          <w:rFonts w:asciiTheme="minorHAnsi" w:hAnsiTheme="minorHAnsi" w:cstheme="minorHAnsi"/>
          <w:i/>
          <w:iCs/>
          <w:szCs w:val="20"/>
          <w:u w:val="single"/>
          <w:lang w:eastAsia="en-GB"/>
        </w:rPr>
      </w:pPr>
      <w:bookmarkStart w:id="25" w:name="_Hlk189567077"/>
      <w:r w:rsidRPr="00AC0422">
        <w:rPr>
          <w:rFonts w:asciiTheme="minorHAnsi" w:hAnsiTheme="minorHAnsi" w:cstheme="minorHAnsi"/>
          <w:i/>
          <w:iCs/>
          <w:szCs w:val="20"/>
          <w:u w:val="single"/>
          <w:lang w:eastAsia="en-GB"/>
        </w:rPr>
        <w:t xml:space="preserve">Activity 3.2.2.1d: </w:t>
      </w:r>
      <w:proofErr w:type="spellStart"/>
      <w:r w:rsidRPr="00AC0422">
        <w:rPr>
          <w:rFonts w:asciiTheme="minorHAnsi" w:hAnsiTheme="minorHAnsi" w:cstheme="minorHAnsi"/>
          <w:i/>
          <w:iCs/>
          <w:szCs w:val="20"/>
          <w:u w:val="single"/>
          <w:lang w:eastAsia="en-GB"/>
        </w:rPr>
        <w:t>i</w:t>
      </w:r>
      <w:proofErr w:type="spellEnd"/>
      <w:r w:rsidRPr="00AC0422">
        <w:rPr>
          <w:rFonts w:asciiTheme="minorHAnsi" w:hAnsiTheme="minorHAnsi" w:cstheme="minorHAnsi"/>
          <w:i/>
          <w:iCs/>
          <w:szCs w:val="20"/>
          <w:u w:val="single"/>
          <w:lang w:eastAsia="en-GB"/>
        </w:rPr>
        <w:t>) Develop a detailed specification and procurement documents for the engagement of an international Meteorological Department/Institution to provide climate information and monitoring services expertise and cooperate with the Yemen Meteorological Department and; ii) Establish a Memorandum of Understanding (MOU) with the successful institution to cooperate on the monitoring of climate variables in the Gulf of Aden.  Monitoring data will be made available via the online information-sharing platform (Activity 3.2.2.2).</w:t>
      </w:r>
    </w:p>
    <w:p w14:paraId="579255BD" w14:textId="77777777" w:rsidR="00B96700" w:rsidRPr="00AC0422" w:rsidRDefault="00B96700" w:rsidP="00B96700">
      <w:pPr>
        <w:rPr>
          <w:rFonts w:asciiTheme="minorHAnsi" w:hAnsiTheme="minorHAnsi" w:cstheme="minorHAnsi"/>
          <w:szCs w:val="20"/>
        </w:rPr>
      </w:pPr>
      <w:r w:rsidRPr="00AC0422">
        <w:rPr>
          <w:rFonts w:asciiTheme="minorHAnsi" w:hAnsiTheme="minorHAnsi" w:cstheme="minorHAnsi"/>
          <w:szCs w:val="20"/>
        </w:rPr>
        <w:t xml:space="preserve">Yemen's meteorological and climate data services are hindered by limited infrastructure, technical capacity, and resources due to years of conflict. CAMA, the main authority, focuses on aviation meteorology and struggles to expand its role in climate adaptation. Engaging an international meteorological institution will help address gaps in climate data, improve forecasting, and build local capacity. This project will support the development of technical specifications and procurement documents for partnering with such an institution, as well as establish an MOU outlining training, data sharing, and collaboration on climate monitoring, aligned with Yemen’s long-term adaptation goals. </w:t>
      </w:r>
      <w:bookmarkEnd w:id="25"/>
    </w:p>
    <w:p w14:paraId="23F00F60" w14:textId="77777777" w:rsidR="00B96700" w:rsidRPr="00AC0422" w:rsidRDefault="00B96700" w:rsidP="00B96700">
      <w:pPr>
        <w:rPr>
          <w:rFonts w:asciiTheme="minorHAnsi" w:hAnsiTheme="minorHAnsi" w:cstheme="minorHAnsi"/>
          <w:szCs w:val="20"/>
        </w:rPr>
      </w:pPr>
    </w:p>
    <w:p w14:paraId="4B8A95F0" w14:textId="77777777" w:rsidR="00B96700" w:rsidRPr="00AC0422" w:rsidRDefault="00B96700" w:rsidP="00B96700">
      <w:pPr>
        <w:rPr>
          <w:rFonts w:asciiTheme="minorHAnsi" w:hAnsiTheme="minorHAnsi" w:cstheme="minorHAnsi"/>
          <w:i/>
          <w:iCs/>
          <w:szCs w:val="20"/>
          <w:u w:val="single"/>
        </w:rPr>
      </w:pPr>
      <w:r w:rsidRPr="00AC0422">
        <w:rPr>
          <w:rFonts w:asciiTheme="minorHAnsi" w:hAnsiTheme="minorHAnsi" w:cstheme="minorHAnsi"/>
          <w:i/>
          <w:iCs/>
          <w:color w:val="000000"/>
          <w:szCs w:val="20"/>
          <w:u w:val="single"/>
          <w:lang w:val="en-GB" w:eastAsia="en-GB"/>
        </w:rPr>
        <w:t xml:space="preserve">Activity 3.2.2.1e: </w:t>
      </w:r>
      <w:r w:rsidRPr="00AC0422">
        <w:rPr>
          <w:rFonts w:asciiTheme="minorHAnsi" w:hAnsiTheme="minorHAnsi" w:cstheme="minorHAnsi"/>
          <w:i/>
          <w:iCs/>
          <w:szCs w:val="20"/>
          <w:u w:val="single"/>
        </w:rPr>
        <w:t>Conduct Conflict Sensitivity Assessments for Key Sectors and overall NAP in Yemen</w:t>
      </w:r>
    </w:p>
    <w:p w14:paraId="1EA6FDA5" w14:textId="77777777" w:rsidR="00B96700" w:rsidRPr="00AC0422" w:rsidRDefault="00B96700" w:rsidP="00B96700">
      <w:pPr>
        <w:rPr>
          <w:rFonts w:asciiTheme="minorHAnsi" w:hAnsiTheme="minorHAnsi" w:cstheme="minorHAnsi"/>
          <w:i/>
          <w:iCs/>
          <w:szCs w:val="20"/>
          <w:u w:val="single"/>
        </w:rPr>
      </w:pPr>
    </w:p>
    <w:p w14:paraId="075D542C" w14:textId="77777777" w:rsidR="00B96700" w:rsidRPr="00AC0422" w:rsidRDefault="00B96700" w:rsidP="00B96700">
      <w:pPr>
        <w:rPr>
          <w:rFonts w:asciiTheme="minorHAnsi" w:hAnsiTheme="minorHAnsi" w:cstheme="minorHAnsi"/>
          <w:i/>
          <w:iCs/>
          <w:color w:val="000000"/>
          <w:szCs w:val="20"/>
          <w:u w:val="single"/>
          <w:lang w:val="en-GB" w:eastAsia="en-GB"/>
        </w:rPr>
      </w:pPr>
      <w:r w:rsidRPr="00AC0422">
        <w:rPr>
          <w:rFonts w:asciiTheme="minorHAnsi" w:hAnsiTheme="minorHAnsi" w:cstheme="minorHAnsi"/>
          <w:szCs w:val="20"/>
        </w:rPr>
        <w:t>This activity involves conducting conflict sensitivity assessments for key sectors, including water, agriculture, coastal zones, and health, in Yemen as well as a comprehensive conflict analysis for Yemen's overall NAP.  The conflict-sensitive approach paper developed under Activity 3.1.1.3d will serve as a foundational document for integrating conflict sensitivity into Yemen’s National Adaptation Plan (NAP) and sectoral adaptation planning. Given Yemen’s ongoing conflict, political instability, and humanitarian crisis, this paper will provide a framework for identifying, assessing, and mitigating conflict-related risks in adaptation interventions, ensuring that climate adaptation planning does not exacerbate tensions but instead supports resilience-building, stability, and peacebuilding efforts.  These sector-specific assessments will examine how conflict exacerbates vulnerabilities and hinders climate change adaptation efforts, identifying the interplay between conflict dynamics and sectoral resilience. The overarching NAP conflict analysis will provide a holistic understanding of how Yemen's fragile context influences national adaptation priorities, processes, and implementation capacities.</w:t>
      </w:r>
    </w:p>
    <w:p w14:paraId="2272DC6D"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lastRenderedPageBreak/>
        <w:t>The sectoral assessments will be integrated with the climate risk assessments (Activity 3.2.2.1c) to create a unified understanding of challenges and opportunities. The NAP-level conflict analysis will include mapping socio-political dynamics, analyzing how conflict affects governance structures, and identifying systemic barriers to adaptation planning in conflict-affected areas.</w:t>
      </w:r>
    </w:p>
    <w:p w14:paraId="2B7EFD2B"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Stakeholder engagement, including consultations with local communities, sector experts, government representatives, and humanitarian actors, will ensure that the assessments reflect local realities and diverse perspectives. These consultations will inform both sectoral and national-level analyses, ensuring alignment with Yemen's socio-political and environmental context.</w:t>
      </w:r>
    </w:p>
    <w:p w14:paraId="41C31D9B" w14:textId="77777777" w:rsidR="00B96700" w:rsidRPr="00AC0422" w:rsidRDefault="00B96700" w:rsidP="00B96700">
      <w:pPr>
        <w:spacing w:after="120"/>
        <w:ind w:right="-28"/>
        <w:rPr>
          <w:rFonts w:asciiTheme="minorHAnsi" w:hAnsiTheme="minorHAnsi" w:cstheme="minorHAnsi"/>
          <w:i/>
          <w:iCs/>
          <w:szCs w:val="20"/>
          <w:u w:val="single"/>
          <w:lang w:eastAsia="en-GB"/>
        </w:rPr>
      </w:pPr>
      <w:bookmarkStart w:id="26" w:name="_Hlk189689741"/>
      <w:r w:rsidRPr="00AC0422">
        <w:rPr>
          <w:rFonts w:asciiTheme="minorHAnsi" w:hAnsiTheme="minorHAnsi" w:cstheme="minorHAnsi"/>
          <w:b/>
          <w:bCs/>
          <w:i/>
          <w:iCs/>
          <w:szCs w:val="20"/>
          <w:u w:val="single"/>
          <w:lang w:eastAsia="en-GB"/>
        </w:rPr>
        <w:t>Activity 3.2.2.2a: Develop and operationalize the NAP Platform</w:t>
      </w:r>
      <w:bookmarkEnd w:id="26"/>
      <w:r w:rsidRPr="00AC0422">
        <w:rPr>
          <w:rFonts w:asciiTheme="minorHAnsi" w:hAnsiTheme="minorHAnsi" w:cstheme="minorHAnsi"/>
          <w:i/>
          <w:iCs/>
          <w:szCs w:val="20"/>
          <w:u w:val="single"/>
          <w:lang w:eastAsia="en-GB"/>
        </w:rPr>
        <w:t>.</w:t>
      </w:r>
    </w:p>
    <w:p w14:paraId="7553ABFB"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This activity aims to develop, operationalize, and maintain a National Adaptation Plan (NAP) Portal for Yemen, ensuring that climate data, adaptation knowledge, and decision-making tools are easily accessible to government agencies, sectoral ministries, NGOs, development partners, researchers, and local communities.</w:t>
      </w:r>
    </w:p>
    <w:p w14:paraId="25F9B2DF" w14:textId="77777777" w:rsidR="00B96700" w:rsidRPr="00AC0422" w:rsidRDefault="00B96700" w:rsidP="00B96700">
      <w:pPr>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The NAP Portal will serve as a:</w:t>
      </w:r>
    </w:p>
    <w:p w14:paraId="774FE40F" w14:textId="77777777" w:rsidR="00B96700" w:rsidRPr="00AC0422" w:rsidRDefault="00B96700" w:rsidP="005D2C02">
      <w:pPr>
        <w:pStyle w:val="ListParagraph"/>
        <w:numPr>
          <w:ilvl w:val="0"/>
          <w:numId w:val="73"/>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Climate data and information repository and sharing platform – Integrating climate monitoring and risk assessment data from national and international sources.</w:t>
      </w:r>
    </w:p>
    <w:p w14:paraId="4EED057D" w14:textId="77777777" w:rsidR="00B96700" w:rsidRPr="00AC0422" w:rsidRDefault="00B96700" w:rsidP="005D2C02">
      <w:pPr>
        <w:pStyle w:val="ListParagraph"/>
        <w:numPr>
          <w:ilvl w:val="0"/>
          <w:numId w:val="73"/>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Climate knowledge-sharing and repository – Centralizing studies, reports, training materials, guidelines, and climate adaptation planning resources.</w:t>
      </w:r>
    </w:p>
    <w:p w14:paraId="75F877C8" w14:textId="77777777" w:rsidR="00B96700" w:rsidRPr="00AC0422" w:rsidRDefault="00B96700" w:rsidP="005D2C02">
      <w:pPr>
        <w:pStyle w:val="ListParagraph"/>
        <w:numPr>
          <w:ilvl w:val="0"/>
          <w:numId w:val="73"/>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Capacity development, awareness raising, and lessons learned portal – e-learning platform for capacity building and awareness raising.</w:t>
      </w:r>
    </w:p>
    <w:p w14:paraId="581818A9" w14:textId="77777777" w:rsidR="00B96700" w:rsidRPr="00AC0422" w:rsidRDefault="00B96700" w:rsidP="005D2C02">
      <w:pPr>
        <w:pStyle w:val="ListParagraph"/>
        <w:numPr>
          <w:ilvl w:val="0"/>
          <w:numId w:val="73"/>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Decision-support tool – Providing GIS-based visualization and analytical tools to support climate adaptation policies and investments.</w:t>
      </w:r>
    </w:p>
    <w:p w14:paraId="2F76DF8A" w14:textId="77777777" w:rsidR="00B96700" w:rsidRPr="00AC0422" w:rsidRDefault="00B96700" w:rsidP="005D2C02">
      <w:pPr>
        <w:pStyle w:val="ListParagraph"/>
        <w:numPr>
          <w:ilvl w:val="0"/>
          <w:numId w:val="73"/>
        </w:numPr>
        <w:spacing w:after="120" w:line="259" w:lineRule="auto"/>
        <w:ind w:right="-28"/>
        <w:contextualSpacing/>
        <w:rPr>
          <w:rFonts w:asciiTheme="minorHAnsi" w:hAnsiTheme="minorHAnsi" w:cstheme="minorHAnsi"/>
          <w:sz w:val="20"/>
          <w:szCs w:val="20"/>
          <w:lang w:eastAsia="en-GB"/>
        </w:rPr>
      </w:pPr>
      <w:r w:rsidRPr="00AC0422">
        <w:rPr>
          <w:rFonts w:asciiTheme="minorHAnsi" w:hAnsiTheme="minorHAnsi" w:cstheme="minorHAnsi"/>
          <w:sz w:val="20"/>
          <w:szCs w:val="20"/>
          <w:lang w:eastAsia="en-GB"/>
        </w:rPr>
        <w:t>External collaboration platform – Facilitating information exchange and coordination with international climate organizations, donors, and research institutions.</w:t>
      </w:r>
    </w:p>
    <w:p w14:paraId="7E6A8A4B"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Under this activity </w:t>
      </w:r>
      <w:r w:rsidRPr="00AC0422">
        <w:rPr>
          <w:rFonts w:asciiTheme="minorHAnsi" w:hAnsiTheme="minorHAnsi" w:cstheme="minorHAnsi"/>
          <w:b/>
          <w:bCs/>
          <w:szCs w:val="20"/>
          <w:lang w:val="en-GB" w:eastAsia="en-GB"/>
        </w:rPr>
        <w:t xml:space="preserve">Needs Assessment and Stakeholder Engagement for NAP Portal Design </w:t>
      </w:r>
      <w:r w:rsidRPr="00AC0422">
        <w:rPr>
          <w:rFonts w:asciiTheme="minorHAnsi" w:hAnsiTheme="minorHAnsi" w:cstheme="minorHAnsi"/>
          <w:szCs w:val="20"/>
          <w:lang w:val="en-GB" w:eastAsia="en-GB"/>
        </w:rPr>
        <w:t>will be undertaken</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through</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 xml:space="preserve">consultations with key stakeholders, including Civil Aviation and Meteorological Authority (CAMA,) Environment Protection Authority (EPA), sectoral ministries, NGOs, and data users, to identify specific needs for climate data access, types of data required, and user interface preferences to ensure the design reflects the needs of all key users, including sectoral agencies and local communities. A final report and the draft Concept Design for the platform will be developed. </w:t>
      </w:r>
    </w:p>
    <w:p w14:paraId="5848654B" w14:textId="77777777" w:rsidR="00B96700" w:rsidRPr="00AC0422" w:rsidRDefault="00B96700" w:rsidP="00B96700">
      <w:pPr>
        <w:tabs>
          <w:tab w:val="num" w:pos="1440"/>
        </w:tabs>
        <w:spacing w:after="120"/>
        <w:ind w:right="-28"/>
        <w:rPr>
          <w:rFonts w:asciiTheme="minorHAnsi" w:hAnsiTheme="minorHAnsi" w:cstheme="minorHAnsi"/>
          <w:szCs w:val="20"/>
          <w:lang w:eastAsia="en-GB"/>
        </w:rPr>
      </w:pPr>
      <w:r w:rsidRPr="00AC0422">
        <w:rPr>
          <w:rFonts w:asciiTheme="minorHAnsi" w:hAnsiTheme="minorHAnsi" w:cstheme="minorHAnsi"/>
          <w:szCs w:val="20"/>
          <w:lang w:eastAsia="en-GB"/>
        </w:rPr>
        <w:t>Based on the needs assessment and draft concept design,</w:t>
      </w:r>
      <w:r w:rsidRPr="00AC0422">
        <w:rPr>
          <w:rFonts w:asciiTheme="minorHAnsi" w:hAnsiTheme="minorHAnsi" w:cstheme="minorHAnsi"/>
          <w:b/>
          <w:bCs/>
          <w:szCs w:val="20"/>
          <w:lang w:eastAsia="en-GB"/>
        </w:rPr>
        <w:t xml:space="preserve"> </w:t>
      </w:r>
      <w:r w:rsidRPr="00AC0422">
        <w:rPr>
          <w:rFonts w:asciiTheme="minorHAnsi" w:hAnsiTheme="minorHAnsi" w:cstheme="minorHAnsi"/>
          <w:szCs w:val="20"/>
          <w:lang w:eastAsia="en-GB"/>
        </w:rPr>
        <w:t>the</w:t>
      </w:r>
      <w:r w:rsidRPr="00AC0422">
        <w:rPr>
          <w:rFonts w:asciiTheme="minorHAnsi" w:hAnsiTheme="minorHAnsi" w:cstheme="minorHAnsi"/>
          <w:b/>
          <w:bCs/>
          <w:szCs w:val="20"/>
          <w:lang w:eastAsia="en-GB"/>
        </w:rPr>
        <w:t xml:space="preserve"> detailed </w:t>
      </w:r>
      <w:r w:rsidRPr="00AC0422">
        <w:rPr>
          <w:rFonts w:asciiTheme="minorHAnsi" w:hAnsiTheme="minorHAnsi" w:cstheme="minorHAnsi"/>
          <w:b/>
          <w:bCs/>
          <w:i/>
          <w:iCs/>
          <w:szCs w:val="20"/>
          <w:lang w:eastAsia="en-GB"/>
        </w:rPr>
        <w:t>platform design and technical specifications</w:t>
      </w:r>
      <w:r w:rsidRPr="00AC0422">
        <w:rPr>
          <w:rFonts w:asciiTheme="minorHAnsi" w:hAnsiTheme="minorHAnsi" w:cstheme="minorHAnsi"/>
          <w:b/>
          <w:bCs/>
          <w:szCs w:val="20"/>
          <w:lang w:eastAsia="en-GB"/>
        </w:rPr>
        <w:t xml:space="preserve"> </w:t>
      </w:r>
      <w:r w:rsidRPr="00AC0422">
        <w:rPr>
          <w:rFonts w:asciiTheme="minorHAnsi" w:hAnsiTheme="minorHAnsi" w:cstheme="minorHAnsi"/>
          <w:szCs w:val="20"/>
          <w:lang w:eastAsia="en-GB"/>
        </w:rPr>
        <w:t xml:space="preserve">will be developed, which will detail the structure of the NAP Portal, ensuring it is user-friendly, scalable and accessible. </w:t>
      </w:r>
    </w:p>
    <w:p w14:paraId="6C62C66F"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project will</w:t>
      </w:r>
      <w:r w:rsidRPr="00AC0422">
        <w:rPr>
          <w:rFonts w:asciiTheme="minorHAnsi" w:hAnsiTheme="minorHAnsi" w:cstheme="minorHAnsi"/>
          <w:b/>
          <w:bCs/>
          <w:szCs w:val="20"/>
          <w:lang w:val="en-GB" w:eastAsia="en-GB"/>
        </w:rPr>
        <w:t xml:space="preserve"> develop the online NAP Portal platform</w:t>
      </w:r>
      <w:r w:rsidRPr="00AC0422">
        <w:rPr>
          <w:rFonts w:asciiTheme="minorHAnsi" w:hAnsiTheme="minorHAnsi" w:cstheme="minorHAnsi"/>
          <w:szCs w:val="20"/>
          <w:lang w:val="en-GB" w:eastAsia="en-GB"/>
        </w:rPr>
        <w:t xml:space="preserve"> using modern database and web development tools. </w:t>
      </w:r>
      <w:r w:rsidRPr="00AC0422">
        <w:rPr>
          <w:rFonts w:asciiTheme="minorHAnsi" w:hAnsiTheme="minorHAnsi" w:cstheme="minorHAnsi"/>
          <w:b/>
          <w:bCs/>
          <w:szCs w:val="20"/>
          <w:lang w:val="en-GB" w:eastAsia="en-GB"/>
        </w:rPr>
        <w:t xml:space="preserve">Rigorous testing of the NAP Portal, </w:t>
      </w:r>
      <w:r w:rsidRPr="00AC0422">
        <w:rPr>
          <w:rFonts w:asciiTheme="minorHAnsi" w:hAnsiTheme="minorHAnsi" w:cstheme="minorHAnsi"/>
          <w:szCs w:val="20"/>
          <w:lang w:val="en-GB" w:eastAsia="en-GB"/>
        </w:rPr>
        <w:t>including its linkage to the existing CAMA) database</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 xml:space="preserve">will be conducted to ensure functionality, reliability, and ease of use.  Feedback from pilot users will be used to refine the platform. The project will develop a plan for ongoing </w:t>
      </w:r>
      <w:r w:rsidRPr="00AC0422">
        <w:rPr>
          <w:rFonts w:asciiTheme="minorHAnsi" w:hAnsiTheme="minorHAnsi" w:cstheme="minorHAnsi"/>
          <w:b/>
          <w:bCs/>
          <w:szCs w:val="20"/>
          <w:lang w:val="en-GB" w:eastAsia="en-GB"/>
        </w:rPr>
        <w:t>monitoring and evaluation (M&amp;E) to track platform performance</w:t>
      </w:r>
      <w:r w:rsidRPr="00AC0422">
        <w:rPr>
          <w:rFonts w:asciiTheme="minorHAnsi" w:hAnsiTheme="minorHAnsi" w:cstheme="minorHAnsi"/>
          <w:szCs w:val="20"/>
          <w:lang w:val="en-GB" w:eastAsia="en-GB"/>
        </w:rPr>
        <w:t xml:space="preserve"> and user engagement, and establish a maintenance schedule, including system updates and troubleshooting.</w:t>
      </w:r>
    </w:p>
    <w:p w14:paraId="24638883"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An event will be organized to</w:t>
      </w:r>
      <w:r w:rsidRPr="00AC0422">
        <w:rPr>
          <w:rFonts w:asciiTheme="minorHAnsi" w:hAnsiTheme="minorHAnsi" w:cstheme="minorHAnsi"/>
          <w:b/>
          <w:bCs/>
          <w:szCs w:val="20"/>
          <w:lang w:val="en-GB" w:eastAsia="en-GB"/>
        </w:rPr>
        <w:t xml:space="preserve"> launch the platform </w:t>
      </w:r>
      <w:r w:rsidRPr="00AC0422">
        <w:rPr>
          <w:rFonts w:asciiTheme="minorHAnsi" w:hAnsiTheme="minorHAnsi" w:cstheme="minorHAnsi"/>
          <w:szCs w:val="20"/>
          <w:lang w:val="en-GB" w:eastAsia="en-GB"/>
        </w:rPr>
        <w:t>and an</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accompanying</w:t>
      </w:r>
      <w:r w:rsidRPr="00AC0422">
        <w:rPr>
          <w:rFonts w:asciiTheme="minorHAnsi" w:hAnsiTheme="minorHAnsi" w:cstheme="minorHAnsi"/>
          <w:b/>
          <w:bCs/>
          <w:szCs w:val="20"/>
          <w:lang w:val="en-GB" w:eastAsia="en-GB"/>
        </w:rPr>
        <w:t xml:space="preserve"> Communication Strategy</w:t>
      </w:r>
      <w:r w:rsidRPr="00AC0422">
        <w:rPr>
          <w:rFonts w:asciiTheme="minorHAnsi" w:hAnsiTheme="minorHAnsi" w:cstheme="minorHAnsi"/>
          <w:szCs w:val="20"/>
          <w:lang w:val="en-GB" w:eastAsia="en-GB"/>
        </w:rPr>
        <w:t xml:space="preserve"> to showcase the portal to stakeholders and the public. Communication materials (e.g., brochures, tutorials) to promote the portal and guide users will use traditional and digital media to raise awareness about the portal’s features and benefits.</w:t>
      </w:r>
    </w:p>
    <w:p w14:paraId="1978CA8E" w14:textId="77777777" w:rsidR="00B96700" w:rsidRPr="00AC0422" w:rsidRDefault="00B96700" w:rsidP="00B96700">
      <w:pPr>
        <w:spacing w:after="120"/>
        <w:ind w:right="-28"/>
        <w:rPr>
          <w:rFonts w:asciiTheme="minorHAnsi" w:hAnsiTheme="minorHAnsi" w:cstheme="minorHAnsi"/>
          <w:b/>
          <w:szCs w:val="20"/>
          <w:lang w:eastAsia="en-GB"/>
        </w:rPr>
      </w:pPr>
      <w:r w:rsidRPr="00AC0422">
        <w:rPr>
          <w:rFonts w:asciiTheme="minorHAnsi" w:hAnsiTheme="minorHAnsi" w:cstheme="minorHAnsi"/>
          <w:b/>
          <w:szCs w:val="20"/>
          <w:lang w:eastAsia="en-GB"/>
        </w:rPr>
        <w:t>3) Outcome 3.4: Adaptation finance increased. </w:t>
      </w:r>
    </w:p>
    <w:p w14:paraId="49FF6F92" w14:textId="77777777" w:rsidR="00B96700" w:rsidRPr="00AC0422" w:rsidRDefault="00B96700" w:rsidP="00B96700">
      <w:pPr>
        <w:spacing w:after="120"/>
        <w:ind w:right="-28"/>
        <w:rPr>
          <w:rFonts w:asciiTheme="minorHAnsi" w:hAnsiTheme="minorHAnsi" w:cstheme="minorHAnsi"/>
          <w:b/>
          <w:szCs w:val="20"/>
          <w:lang w:eastAsia="en-GB"/>
        </w:rPr>
      </w:pPr>
      <w:r w:rsidRPr="00AC0422">
        <w:rPr>
          <w:rFonts w:asciiTheme="minorHAnsi" w:hAnsiTheme="minorHAnsi" w:cstheme="minorHAnsi"/>
          <w:bCs/>
          <w:szCs w:val="20"/>
          <w:lang w:eastAsia="en-GB"/>
        </w:rPr>
        <w:t>The project’s Outcome 3.4 will address</w:t>
      </w:r>
      <w:r w:rsidRPr="00AC0422">
        <w:rPr>
          <w:rFonts w:asciiTheme="minorHAnsi" w:hAnsiTheme="minorHAnsi" w:cstheme="minorHAnsi"/>
          <w:b/>
          <w:szCs w:val="20"/>
          <w:lang w:eastAsia="en-GB"/>
        </w:rPr>
        <w:t xml:space="preserve"> </w:t>
      </w:r>
      <w:r w:rsidRPr="00AC0422">
        <w:rPr>
          <w:rFonts w:asciiTheme="minorHAnsi" w:hAnsiTheme="minorHAnsi" w:cstheme="minorHAnsi"/>
          <w:b/>
          <w:bCs/>
          <w:szCs w:val="20"/>
          <w:lang w:val="en-GB"/>
        </w:rPr>
        <w:t xml:space="preserve">Barrier 5: </w:t>
      </w:r>
      <w:r w:rsidRPr="00AC0422">
        <w:rPr>
          <w:rFonts w:asciiTheme="minorHAnsi" w:hAnsiTheme="minorHAnsi" w:cstheme="minorHAnsi"/>
          <w:b/>
          <w:szCs w:val="20"/>
          <w:lang w:val="en-GB"/>
        </w:rPr>
        <w:t>Limited availability of adaptation finance and lack of a financing strategy for developing bankable CCA projects</w:t>
      </w:r>
      <w:r w:rsidRPr="00AC0422">
        <w:rPr>
          <w:rFonts w:asciiTheme="minorHAnsi" w:hAnsiTheme="minorHAnsi" w:cstheme="minorHAnsi"/>
          <w:b/>
          <w:szCs w:val="20"/>
          <w:lang w:eastAsia="en-GB"/>
        </w:rPr>
        <w:t xml:space="preserve"> </w:t>
      </w:r>
      <w:r w:rsidRPr="00AC0422">
        <w:rPr>
          <w:rFonts w:asciiTheme="minorHAnsi" w:hAnsiTheme="minorHAnsi" w:cstheme="minorHAnsi"/>
          <w:bCs/>
          <w:szCs w:val="20"/>
          <w:lang w:eastAsia="en-GB"/>
        </w:rPr>
        <w:t xml:space="preserve">through Output 3.4.2 which will develop 2 priority concepts notes for cross-sectoral priority projects (Activity 3.4.2.1) to be identified in the sectoral plans. The concept notes will be supported by pre-feasibility studies to be developed under Activity 3.4.2.2. Under Output 3.4.3 the project will </w:t>
      </w:r>
      <w:r w:rsidRPr="00AC0422">
        <w:rPr>
          <w:rFonts w:asciiTheme="minorHAnsi" w:hAnsiTheme="minorHAnsi" w:cstheme="minorHAnsi"/>
          <w:bCs/>
          <w:szCs w:val="20"/>
          <w:lang w:eastAsia="en-GB"/>
        </w:rPr>
        <w:lastRenderedPageBreak/>
        <w:t xml:space="preserve">establish </w:t>
      </w:r>
      <w:r w:rsidRPr="00AC0422">
        <w:rPr>
          <w:rFonts w:asciiTheme="minorHAnsi" w:hAnsiTheme="minorHAnsi" w:cstheme="minorHAnsi"/>
          <w:szCs w:val="20"/>
          <w:lang w:val="en-GB" w:eastAsia="en-GB"/>
        </w:rPr>
        <w:t>a cross-sectoral NAP</w:t>
      </w:r>
      <w:r w:rsidRPr="00AC0422">
        <w:rPr>
          <w:rFonts w:asciiTheme="minorHAnsi" w:hAnsiTheme="minorHAnsi" w:cstheme="minorHAnsi"/>
          <w:b/>
          <w:bCs/>
          <w:i/>
          <w:iCs/>
          <w:szCs w:val="20"/>
          <w:lang w:val="en-GB" w:eastAsia="en-GB"/>
        </w:rPr>
        <w:t xml:space="preserve">  </w:t>
      </w:r>
      <w:r w:rsidRPr="00AC0422">
        <w:rPr>
          <w:rFonts w:asciiTheme="minorHAnsi" w:hAnsiTheme="minorHAnsi" w:cstheme="minorHAnsi"/>
          <w:bCs/>
          <w:szCs w:val="20"/>
          <w:lang w:eastAsia="en-GB"/>
        </w:rPr>
        <w:t xml:space="preserve">Finance Working Group (Activity 3.4.3.1) to steer adaptation pipeline project financing strategy, and develop a funding strategy for long-term CCA in Yemen (Activity 3.4.3.2).  In implementing this Output, the project will need to overcome </w:t>
      </w:r>
      <w:r w:rsidRPr="00AC0422">
        <w:rPr>
          <w:rFonts w:asciiTheme="minorHAnsi" w:hAnsiTheme="minorHAnsi" w:cstheme="minorHAnsi"/>
          <w:b/>
          <w:szCs w:val="20"/>
          <w:lang w:eastAsia="en-GB"/>
        </w:rPr>
        <w:t>Risk 4: Inadequate financing for long-term implementation due to limited financial and technical capacity and strategies for long-term systematic development of bankable CCA projects</w:t>
      </w:r>
      <w:r w:rsidRPr="00AC0422">
        <w:rPr>
          <w:rFonts w:asciiTheme="minorHAnsi" w:hAnsiTheme="minorHAnsi" w:cstheme="minorHAnsi"/>
          <w:bCs/>
          <w:szCs w:val="20"/>
          <w:lang w:eastAsia="en-GB"/>
        </w:rPr>
        <w:t xml:space="preserve">, </w:t>
      </w:r>
      <w:r w:rsidRPr="00AC0422">
        <w:rPr>
          <w:rFonts w:asciiTheme="minorHAnsi" w:eastAsia="Calibri" w:hAnsiTheme="minorHAnsi" w:cstheme="minorHAnsi"/>
          <w:szCs w:val="20"/>
        </w:rPr>
        <w:t>and put in place the necessary risk mitigation measures throughout implementation.</w:t>
      </w:r>
    </w:p>
    <w:p w14:paraId="6768008A" w14:textId="77777777" w:rsidR="00B96700" w:rsidRPr="00AC0422" w:rsidRDefault="00B96700" w:rsidP="00B96700">
      <w:pPr>
        <w:spacing w:after="120"/>
        <w:ind w:right="-28"/>
        <w:rPr>
          <w:rFonts w:asciiTheme="minorHAnsi" w:hAnsiTheme="minorHAnsi" w:cstheme="minorHAnsi"/>
          <w:b/>
          <w:szCs w:val="20"/>
          <w:lang w:eastAsia="en-GB"/>
        </w:rPr>
      </w:pPr>
      <w:r w:rsidRPr="00AC0422">
        <w:rPr>
          <w:rFonts w:asciiTheme="minorHAnsi" w:hAnsiTheme="minorHAnsi" w:cstheme="minorHAnsi"/>
          <w:b/>
          <w:szCs w:val="20"/>
          <w:lang w:eastAsia="en-GB"/>
        </w:rPr>
        <w:t>Output 3.4.2: Number of concept notes and/or funding proposals developed for adaptation priority actions</w:t>
      </w:r>
    </w:p>
    <w:p w14:paraId="1BE9996F" w14:textId="77777777" w:rsidR="00B96700" w:rsidRPr="00AC0422" w:rsidRDefault="00B96700" w:rsidP="00B96700">
      <w:pPr>
        <w:spacing w:after="120"/>
        <w:ind w:right="-28"/>
        <w:rPr>
          <w:rFonts w:asciiTheme="minorHAnsi" w:hAnsiTheme="minorHAnsi" w:cstheme="minorHAnsi"/>
          <w:bCs/>
          <w:szCs w:val="20"/>
          <w:u w:val="single"/>
          <w:lang w:eastAsia="en-GB"/>
        </w:rPr>
      </w:pPr>
      <w:r w:rsidRPr="00AC0422">
        <w:rPr>
          <w:rFonts w:asciiTheme="minorHAnsi" w:hAnsiTheme="minorHAnsi" w:cstheme="minorHAnsi"/>
          <w:b/>
          <w:i/>
          <w:iCs/>
          <w:szCs w:val="20"/>
          <w:u w:val="single"/>
          <w:lang w:eastAsia="en-GB"/>
        </w:rPr>
        <w:t>Activity 3.4.2.1: Develop #2 Concept notes for adaptation priority actions</w:t>
      </w:r>
      <w:r w:rsidRPr="00AC0422">
        <w:rPr>
          <w:rFonts w:asciiTheme="minorHAnsi" w:hAnsiTheme="minorHAnsi" w:cstheme="minorHAnsi"/>
          <w:bCs/>
          <w:szCs w:val="20"/>
          <w:u w:val="single"/>
          <w:lang w:eastAsia="en-GB"/>
        </w:rPr>
        <w:t>.</w:t>
      </w:r>
    </w:p>
    <w:p w14:paraId="6BAFEEFE" w14:textId="77777777" w:rsidR="00B96700" w:rsidRPr="00AC0422" w:rsidRDefault="00B96700" w:rsidP="00B96700">
      <w:pPr>
        <w:spacing w:after="120"/>
        <w:ind w:right="-28"/>
        <w:rPr>
          <w:rFonts w:asciiTheme="minorHAnsi" w:hAnsiTheme="minorHAnsi" w:cstheme="minorHAnsi"/>
          <w:bCs/>
          <w:szCs w:val="20"/>
          <w:lang w:eastAsia="en-GB"/>
        </w:rPr>
      </w:pPr>
      <w:r w:rsidRPr="00AC0422">
        <w:rPr>
          <w:rFonts w:asciiTheme="minorHAnsi" w:hAnsiTheme="minorHAnsi" w:cstheme="minorHAnsi"/>
          <w:bCs/>
          <w:szCs w:val="20"/>
          <w:lang w:eastAsia="en-GB"/>
        </w:rPr>
        <w:t xml:space="preserve">The project will develop 2 priority concept notes for climate adaptation projects to mobilize climate finance for key sectors, moving from adaptation planning to implementation. The priority projects will be identified in the sectoral plans based on climate risk and vulnerability study and will identify the most appropriate financing strategy for each, based on the adaptation financing strategy to be developed in Activity 3.4.3.1.  </w:t>
      </w:r>
    </w:p>
    <w:p w14:paraId="577084E7" w14:textId="77777777" w:rsidR="00B96700" w:rsidRPr="00AC0422" w:rsidRDefault="00B96700" w:rsidP="00B96700">
      <w:pPr>
        <w:spacing w:after="120"/>
        <w:ind w:right="-28"/>
        <w:rPr>
          <w:rFonts w:asciiTheme="minorHAnsi" w:hAnsiTheme="minorHAnsi" w:cstheme="minorHAnsi"/>
          <w:bCs/>
          <w:szCs w:val="20"/>
          <w:lang w:eastAsia="en-GB"/>
        </w:rPr>
      </w:pPr>
      <w:r w:rsidRPr="00AC0422">
        <w:rPr>
          <w:rFonts w:asciiTheme="minorHAnsi" w:hAnsiTheme="minorHAnsi" w:cstheme="minorHAnsi"/>
          <w:bCs/>
          <w:szCs w:val="20"/>
          <w:lang w:eastAsia="en-GB"/>
        </w:rPr>
        <w:t xml:space="preserve">The project will assist the NDA in the early identification of an Accredited Entity (AE) during the project ideation phase, ensuring alignment with project goals and requirements from the outset and will share the draft Concept Notes (with GCF regional teams) to gather initial feedback, fostering early collaboration and input. Throughout the grant implementation phase, it will be ensured that resources, including technical support and expertise, are made available to address and incorporate the feedback received, facilitating a smooth and responsive adaptation of the project as it progresses. </w:t>
      </w:r>
    </w:p>
    <w:p w14:paraId="12A76AB6" w14:textId="77777777" w:rsidR="00B96700" w:rsidRPr="00AC0422" w:rsidRDefault="00B96700" w:rsidP="00B96700">
      <w:pPr>
        <w:spacing w:after="120"/>
        <w:ind w:right="-28"/>
        <w:rPr>
          <w:rFonts w:asciiTheme="minorHAnsi" w:hAnsiTheme="minorHAnsi" w:cstheme="minorHAnsi"/>
          <w:bCs/>
          <w:szCs w:val="20"/>
          <w:lang w:eastAsia="en-GB"/>
        </w:rPr>
      </w:pPr>
      <w:r w:rsidRPr="00AC0422">
        <w:rPr>
          <w:rFonts w:asciiTheme="minorHAnsi" w:hAnsiTheme="minorHAnsi" w:cstheme="minorHAnsi"/>
          <w:bCs/>
          <w:szCs w:val="20"/>
          <w:lang w:eastAsia="en-GB"/>
        </w:rPr>
        <w:t xml:space="preserve">In addition, the project will ensure that new project ideas developed through the NAP process align with the existing priorities of the country </w:t>
      </w:r>
      <w:proofErr w:type="spellStart"/>
      <w:r w:rsidRPr="00AC0422">
        <w:rPr>
          <w:rFonts w:asciiTheme="minorHAnsi" w:hAnsiTheme="minorHAnsi" w:cstheme="minorHAnsi"/>
          <w:bCs/>
          <w:szCs w:val="20"/>
          <w:lang w:eastAsia="en-GB"/>
        </w:rPr>
        <w:t>programme</w:t>
      </w:r>
      <w:proofErr w:type="spellEnd"/>
      <w:r w:rsidRPr="00AC0422">
        <w:rPr>
          <w:rFonts w:asciiTheme="minorHAnsi" w:hAnsiTheme="minorHAnsi" w:cstheme="minorHAnsi"/>
          <w:bCs/>
          <w:szCs w:val="20"/>
          <w:lang w:eastAsia="en-GB"/>
        </w:rPr>
        <w:t xml:space="preserve"> to avoid duplication and optimize resources. The development of CNs will be closely aligned with the country </w:t>
      </w:r>
      <w:proofErr w:type="spellStart"/>
      <w:r w:rsidRPr="00AC0422">
        <w:rPr>
          <w:rFonts w:asciiTheme="minorHAnsi" w:hAnsiTheme="minorHAnsi" w:cstheme="minorHAnsi"/>
          <w:bCs/>
          <w:szCs w:val="20"/>
          <w:lang w:eastAsia="en-GB"/>
        </w:rPr>
        <w:t>programme</w:t>
      </w:r>
      <w:proofErr w:type="spellEnd"/>
      <w:r w:rsidRPr="00AC0422">
        <w:rPr>
          <w:rFonts w:asciiTheme="minorHAnsi" w:hAnsiTheme="minorHAnsi" w:cstheme="minorHAnsi"/>
          <w:bCs/>
          <w:szCs w:val="20"/>
          <w:lang w:eastAsia="en-GB"/>
        </w:rPr>
        <w:t xml:space="preserve">, incorporating any new priorities that arise. If adaptation priorities change during the NAP process, the country </w:t>
      </w:r>
      <w:proofErr w:type="spellStart"/>
      <w:r w:rsidRPr="00AC0422">
        <w:rPr>
          <w:rFonts w:asciiTheme="minorHAnsi" w:hAnsiTheme="minorHAnsi" w:cstheme="minorHAnsi"/>
          <w:bCs/>
          <w:szCs w:val="20"/>
          <w:lang w:eastAsia="en-GB"/>
        </w:rPr>
        <w:t>programme’s</w:t>
      </w:r>
      <w:proofErr w:type="spellEnd"/>
      <w:r w:rsidRPr="00AC0422">
        <w:rPr>
          <w:rFonts w:asciiTheme="minorHAnsi" w:hAnsiTheme="minorHAnsi" w:cstheme="minorHAnsi"/>
          <w:bCs/>
          <w:szCs w:val="20"/>
          <w:lang w:eastAsia="en-GB"/>
        </w:rPr>
        <w:t xml:space="preserve"> priorities  will be updated accordingly. </w:t>
      </w:r>
    </w:p>
    <w:p w14:paraId="3BB584F6" w14:textId="77777777" w:rsidR="00B96700" w:rsidRPr="00AC0422" w:rsidRDefault="00B96700" w:rsidP="00B96700">
      <w:pPr>
        <w:spacing w:after="120"/>
        <w:ind w:right="-28"/>
        <w:rPr>
          <w:rFonts w:asciiTheme="minorHAnsi" w:hAnsiTheme="minorHAnsi" w:cstheme="minorHAnsi"/>
          <w:b/>
          <w:i/>
          <w:iCs/>
          <w:szCs w:val="20"/>
          <w:u w:val="single"/>
          <w:lang w:eastAsia="en-GB"/>
        </w:rPr>
      </w:pPr>
      <w:bookmarkStart w:id="27" w:name="_Hlk189574428"/>
      <w:r w:rsidRPr="00AC0422">
        <w:rPr>
          <w:rFonts w:asciiTheme="minorHAnsi" w:hAnsiTheme="minorHAnsi" w:cstheme="minorHAnsi"/>
          <w:b/>
          <w:i/>
          <w:iCs/>
          <w:szCs w:val="20"/>
          <w:u w:val="single"/>
          <w:lang w:eastAsia="en-GB"/>
        </w:rPr>
        <w:t>Activity 3.4.2.2: Undertake  two pre-feasibility studies to support the development of at least two GCF Concept Notes.</w:t>
      </w:r>
    </w:p>
    <w:p w14:paraId="3DBA97BA" w14:textId="77777777" w:rsidR="00B96700" w:rsidRPr="00AC0422" w:rsidRDefault="00B96700" w:rsidP="00B96700">
      <w:pPr>
        <w:spacing w:after="120"/>
        <w:ind w:right="-28"/>
        <w:rPr>
          <w:rFonts w:asciiTheme="minorHAnsi" w:hAnsiTheme="minorHAnsi" w:cstheme="minorHAnsi"/>
          <w:bCs/>
          <w:szCs w:val="20"/>
          <w:lang w:eastAsia="en-GB"/>
        </w:rPr>
      </w:pPr>
      <w:r w:rsidRPr="00AC0422">
        <w:rPr>
          <w:rFonts w:asciiTheme="minorHAnsi" w:hAnsiTheme="minorHAnsi" w:cstheme="minorHAnsi"/>
          <w:bCs/>
          <w:szCs w:val="20"/>
          <w:lang w:eastAsia="en-GB"/>
        </w:rPr>
        <w:t>Under this activity, the project will undertake studies and assessments culminating in pre-feasibility studies to support the development of at least two GCF Concept Notes to address cross-sectoral adaptation priorities</w:t>
      </w:r>
      <w:bookmarkEnd w:id="27"/>
      <w:r w:rsidRPr="00AC0422">
        <w:rPr>
          <w:rFonts w:asciiTheme="minorHAnsi" w:hAnsiTheme="minorHAnsi" w:cstheme="minorHAnsi"/>
          <w:bCs/>
          <w:szCs w:val="20"/>
          <w:lang w:eastAsia="en-GB"/>
        </w:rPr>
        <w:t xml:space="preserve">. </w:t>
      </w:r>
    </w:p>
    <w:p w14:paraId="3A5B838D" w14:textId="77777777" w:rsidR="00B96700" w:rsidRPr="00AC0422" w:rsidRDefault="00B96700" w:rsidP="00B96700">
      <w:pPr>
        <w:pStyle w:val="NormalWeb"/>
        <w:rPr>
          <w:rFonts w:asciiTheme="minorHAnsi" w:hAnsiTheme="minorHAnsi" w:cstheme="minorHAnsi"/>
          <w:bCs/>
          <w:sz w:val="20"/>
          <w:szCs w:val="20"/>
        </w:rPr>
      </w:pPr>
      <w:r w:rsidRPr="00AC0422">
        <w:rPr>
          <w:rFonts w:asciiTheme="minorHAnsi" w:hAnsiTheme="minorHAnsi" w:cstheme="minorHAnsi"/>
          <w:bCs/>
          <w:sz w:val="20"/>
          <w:szCs w:val="20"/>
        </w:rPr>
        <w:t>The project will conduct two pre-feasibility studies to assess the viability, sustainability, and financing potential of cross-sectoral adaptation projects. These studies will provide technical, financial, and environmental assessments to support the development of GCF Concept Notes (Activity 3.4.2.1).</w:t>
      </w:r>
    </w:p>
    <w:p w14:paraId="63D28EEA" w14:textId="77777777" w:rsidR="00B96700" w:rsidRPr="00AC0422" w:rsidRDefault="00B96700" w:rsidP="00B96700">
      <w:pPr>
        <w:pStyle w:val="NormalWeb"/>
        <w:rPr>
          <w:rFonts w:asciiTheme="minorHAnsi" w:hAnsiTheme="minorHAnsi" w:cstheme="minorHAnsi"/>
          <w:bCs/>
          <w:sz w:val="20"/>
          <w:szCs w:val="20"/>
        </w:rPr>
      </w:pPr>
      <w:r w:rsidRPr="00AC0422">
        <w:rPr>
          <w:rFonts w:asciiTheme="minorHAnsi" w:hAnsiTheme="minorHAnsi" w:cstheme="minorHAnsi"/>
          <w:bCs/>
          <w:sz w:val="20"/>
          <w:szCs w:val="20"/>
        </w:rPr>
        <w:t xml:space="preserve">Project selection will be guided by climate risk assessments, sectoral adaptation planning, and financing priorities. The studies will evaluate feasibility, cost-benefit, and alignment with Yemen’s NAP, NDC, and GCF Country </w:t>
      </w:r>
      <w:proofErr w:type="spellStart"/>
      <w:r w:rsidRPr="00AC0422">
        <w:rPr>
          <w:rFonts w:asciiTheme="minorHAnsi" w:hAnsiTheme="minorHAnsi" w:cstheme="minorHAnsi"/>
          <w:bCs/>
          <w:sz w:val="20"/>
          <w:szCs w:val="20"/>
        </w:rPr>
        <w:t>Programme</w:t>
      </w:r>
      <w:proofErr w:type="spellEnd"/>
      <w:r w:rsidRPr="00AC0422">
        <w:rPr>
          <w:rFonts w:asciiTheme="minorHAnsi" w:hAnsiTheme="minorHAnsi" w:cstheme="minorHAnsi"/>
          <w:bCs/>
          <w:sz w:val="20"/>
          <w:szCs w:val="20"/>
        </w:rPr>
        <w:t>, ensuring evidence-based adaptation investments.</w:t>
      </w:r>
    </w:p>
    <w:p w14:paraId="1FC186EB" w14:textId="77777777" w:rsidR="00B96700" w:rsidRPr="00AC0422" w:rsidRDefault="00B96700" w:rsidP="00B96700">
      <w:pPr>
        <w:pStyle w:val="NormalWeb"/>
        <w:rPr>
          <w:rFonts w:asciiTheme="minorHAnsi" w:hAnsiTheme="minorHAnsi" w:cstheme="minorHAnsi"/>
          <w:bCs/>
          <w:sz w:val="20"/>
          <w:szCs w:val="20"/>
        </w:rPr>
      </w:pPr>
      <w:r w:rsidRPr="00AC0422">
        <w:rPr>
          <w:rFonts w:asciiTheme="minorHAnsi" w:hAnsiTheme="minorHAnsi" w:cstheme="minorHAnsi"/>
          <w:bCs/>
          <w:sz w:val="20"/>
          <w:szCs w:val="20"/>
        </w:rPr>
        <w:t>Conducted in collaboration with key national agencies, the studies will include stakeholder validation and assess environmental and social impacts, focusing on vulnerable groups. Findings will strengthen project bankability, align with Yemen’s adaptation financing strategy, and enhance institutional capacity for mobilizing climate finance.</w:t>
      </w:r>
    </w:p>
    <w:p w14:paraId="5E61AC07" w14:textId="77777777" w:rsidR="00B96700" w:rsidRPr="00AC0422" w:rsidRDefault="00B96700" w:rsidP="00B96700">
      <w:pPr>
        <w:spacing w:after="120"/>
        <w:ind w:right="-28"/>
        <w:rPr>
          <w:rFonts w:asciiTheme="minorHAnsi" w:hAnsiTheme="minorHAnsi" w:cstheme="minorHAnsi"/>
          <w:b/>
          <w:bCs/>
          <w:szCs w:val="20"/>
          <w:lang w:eastAsia="en-GB"/>
        </w:rPr>
      </w:pPr>
      <w:r w:rsidRPr="00AC0422">
        <w:rPr>
          <w:rFonts w:asciiTheme="minorHAnsi" w:hAnsiTheme="minorHAnsi" w:cstheme="minorHAnsi"/>
          <w:bCs/>
          <w:szCs w:val="20"/>
          <w:lang w:eastAsia="en-GB"/>
        </w:rPr>
        <w:t xml:space="preserve"> </w:t>
      </w:r>
      <w:r w:rsidRPr="00AC0422">
        <w:rPr>
          <w:rFonts w:asciiTheme="minorHAnsi" w:hAnsiTheme="minorHAnsi" w:cstheme="minorHAnsi"/>
          <w:b/>
          <w:bCs/>
          <w:szCs w:val="20"/>
          <w:lang w:eastAsia="en-GB"/>
        </w:rPr>
        <w:t>Output 3.4.3: National systems developed for tracking adaptation national and international finance flows</w:t>
      </w:r>
    </w:p>
    <w:p w14:paraId="64116D65" w14:textId="77777777" w:rsidR="00B96700" w:rsidRPr="00AC0422" w:rsidRDefault="00B96700" w:rsidP="00B96700">
      <w:pPr>
        <w:spacing w:after="120"/>
        <w:ind w:right="-28"/>
        <w:rPr>
          <w:rFonts w:asciiTheme="minorHAnsi" w:hAnsiTheme="minorHAnsi" w:cstheme="minorHAnsi"/>
          <w:b/>
          <w:bCs/>
          <w:i/>
          <w:iCs/>
          <w:szCs w:val="20"/>
          <w:u w:val="single"/>
          <w:lang w:val="en-GB" w:eastAsia="en-GB"/>
        </w:rPr>
      </w:pPr>
      <w:bookmarkStart w:id="28" w:name="_Hlk189575088"/>
      <w:r w:rsidRPr="00AC0422">
        <w:rPr>
          <w:rFonts w:asciiTheme="minorHAnsi" w:hAnsiTheme="minorHAnsi" w:cstheme="minorHAnsi"/>
          <w:b/>
          <w:bCs/>
          <w:i/>
          <w:iCs/>
          <w:szCs w:val="20"/>
          <w:u w:val="single"/>
          <w:lang w:val="en-GB" w:eastAsia="en-GB"/>
        </w:rPr>
        <w:t>Activity 3.4.3.1: Establish a Cross-Sectoral NAP Financial Working Group (FWG)</w:t>
      </w:r>
    </w:p>
    <w:p w14:paraId="0B9EA844"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3.4.3.1a: Establish a Cross-Sectoral NAP Financial Working Group (FWG)</w:t>
      </w:r>
    </w:p>
    <w:p w14:paraId="60A9F3BF"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The project will establish an Adaptation Finance Working Group (FWG) and develop a comprehensive Adaptation Finance Strategy to enhance the mobilization, coordination, and utilization of resources for climate adaptation. The FWG will address the fragmentation of funding efforts and lack of centralized coordination by bringing together stakeholders from diverse sectors and vulnerable groups to streamline funding priorities aligned with NAP goals.</w:t>
      </w:r>
    </w:p>
    <w:p w14:paraId="72F8C551"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lastRenderedPageBreak/>
        <w:t>The FWG will serve as a centralized entity for coordinating adaptation finance across sectors, such as water, agriculture, health, and coastal zones. It will build local capacities in climate finance, proposal development, and fund management while promoting knowledge sharing and replication of best practices.</w:t>
      </w:r>
    </w:p>
    <w:p w14:paraId="4CB6B9F3"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The project will draft the FWG’s Terms of Reference (</w:t>
      </w:r>
      <w:proofErr w:type="spellStart"/>
      <w:r w:rsidRPr="00AC0422">
        <w:rPr>
          <w:rFonts w:asciiTheme="minorHAnsi" w:hAnsiTheme="minorHAnsi" w:cstheme="minorHAnsi"/>
          <w:sz w:val="20"/>
          <w:szCs w:val="20"/>
        </w:rPr>
        <w:t>ToR</w:t>
      </w:r>
      <w:proofErr w:type="spellEnd"/>
      <w:r w:rsidRPr="00AC0422">
        <w:rPr>
          <w:rFonts w:asciiTheme="minorHAnsi" w:hAnsiTheme="minorHAnsi" w:cstheme="minorHAnsi"/>
          <w:sz w:val="20"/>
          <w:szCs w:val="20"/>
        </w:rPr>
        <w:t>), outlining roles for identifying funding opportunities, conducting gap analyses, and coordinating financial strategies. The FWG is planned to be formally established through a government resolution or agreement, with a chairperson and secretariat appointed. Capacity building will be delivered through training on climate finance mechanisms, including accessing international funds like the GCF and Adaptation Fund. An initial workplan will also be developed to guide FWG activities.</w:t>
      </w:r>
    </w:p>
    <w:p w14:paraId="19086CFB"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To ensure that the Cross-Sectoral NAP Financial Working Group (FWG) remains operational, functional, and effective beyond the lifespan of the project, several key measures will be put in place. These measures focus on institutionalizing the FWG, embedding it within national climate governance structures, securing sustained funding, strengthening capacity, and fostering partnerships. The aim is to ensure that the FWG continues to coordinate adaptation finance efforts, mobilize resources, and provide technical support for financing climate adaptation in Yemen long after project closure.</w:t>
      </w:r>
    </w:p>
    <w:p w14:paraId="73499A85"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To strengthen the capacity of the NAP Financial Working Group (FWG) and ensure its long-term effectiveness in mobilizing, coordinating, and managing climate finance, a comprehensive training program will be delivered. This program will focus on enhancing technical expertise on climate finance mechanisms, project proposal development, financial structuring, and accessing international funds such as the Green Climate Fund (GCF), Adaptation Fund, Global Environment Facility (GEF), and bilateral/multilateral financing options. The training will be designed to equip FWG members and relevant stakeholders with the skills necessary to develop bankable climate adaptation projects, track adaptation finance flows, and integrate adaptation financing into national and sectoral budgets.</w:t>
      </w:r>
    </w:p>
    <w:tbl>
      <w:tblPr>
        <w:tblW w:w="9911" w:type="dxa"/>
        <w:tblLook w:val="04A0" w:firstRow="1" w:lastRow="0" w:firstColumn="1" w:lastColumn="0" w:noHBand="0" w:noVBand="1"/>
      </w:tblPr>
      <w:tblGrid>
        <w:gridCol w:w="3972"/>
        <w:gridCol w:w="1637"/>
        <w:gridCol w:w="1087"/>
        <w:gridCol w:w="3215"/>
      </w:tblGrid>
      <w:tr w:rsidR="00B96700" w:rsidRPr="00AC0422" w14:paraId="74CFF35A" w14:textId="77777777" w:rsidTr="00391BF1">
        <w:trPr>
          <w:trHeight w:val="1686"/>
        </w:trPr>
        <w:tc>
          <w:tcPr>
            <w:tcW w:w="3972"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9B9C924"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Training Topic</w:t>
            </w:r>
          </w:p>
        </w:tc>
        <w:tc>
          <w:tcPr>
            <w:tcW w:w="1637" w:type="dxa"/>
            <w:tcBorders>
              <w:top w:val="single" w:sz="8" w:space="0" w:color="auto"/>
              <w:left w:val="nil"/>
              <w:bottom w:val="single" w:sz="4" w:space="0" w:color="auto"/>
              <w:right w:val="single" w:sz="4" w:space="0" w:color="auto"/>
            </w:tcBorders>
            <w:shd w:val="clear" w:color="auto" w:fill="auto"/>
            <w:vAlign w:val="center"/>
            <w:hideMark/>
          </w:tcPr>
          <w:p w14:paraId="1766486A"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Number of Participants (Gender Target: 40% Women, 60% Men)</w:t>
            </w:r>
          </w:p>
        </w:tc>
        <w:tc>
          <w:tcPr>
            <w:tcW w:w="1087" w:type="dxa"/>
            <w:tcBorders>
              <w:top w:val="single" w:sz="8" w:space="0" w:color="auto"/>
              <w:left w:val="nil"/>
              <w:bottom w:val="single" w:sz="4" w:space="0" w:color="auto"/>
              <w:right w:val="single" w:sz="4" w:space="0" w:color="auto"/>
            </w:tcBorders>
            <w:shd w:val="clear" w:color="auto" w:fill="auto"/>
            <w:vAlign w:val="center"/>
            <w:hideMark/>
          </w:tcPr>
          <w:p w14:paraId="49F4D848"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Length/</w:t>
            </w:r>
            <w:r w:rsidRPr="00AC0422">
              <w:rPr>
                <w:rFonts w:asciiTheme="minorHAnsi" w:hAnsiTheme="minorHAnsi" w:cstheme="minorHAnsi"/>
                <w:b/>
                <w:bCs/>
                <w:color w:val="000000"/>
                <w:szCs w:val="20"/>
              </w:rPr>
              <w:br/>
              <w:t>Duration</w:t>
            </w:r>
          </w:p>
        </w:tc>
        <w:tc>
          <w:tcPr>
            <w:tcW w:w="3215" w:type="dxa"/>
            <w:tcBorders>
              <w:top w:val="single" w:sz="8" w:space="0" w:color="auto"/>
              <w:left w:val="nil"/>
              <w:bottom w:val="single" w:sz="4" w:space="0" w:color="auto"/>
              <w:right w:val="single" w:sz="8" w:space="0" w:color="auto"/>
            </w:tcBorders>
            <w:shd w:val="clear" w:color="auto" w:fill="auto"/>
            <w:vAlign w:val="center"/>
            <w:hideMark/>
          </w:tcPr>
          <w:p w14:paraId="511A30D3"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Targeted Stakeholders</w:t>
            </w:r>
          </w:p>
        </w:tc>
      </w:tr>
      <w:tr w:rsidR="00B96700" w:rsidRPr="00AC0422" w14:paraId="396EEF5E" w14:textId="77777777" w:rsidTr="00391BF1">
        <w:trPr>
          <w:trHeight w:val="963"/>
        </w:trPr>
        <w:tc>
          <w:tcPr>
            <w:tcW w:w="3972" w:type="dxa"/>
            <w:tcBorders>
              <w:top w:val="nil"/>
              <w:left w:val="single" w:sz="8" w:space="0" w:color="auto"/>
              <w:bottom w:val="single" w:sz="4" w:space="0" w:color="auto"/>
              <w:right w:val="single" w:sz="4" w:space="0" w:color="auto"/>
            </w:tcBorders>
            <w:shd w:val="clear" w:color="auto" w:fill="auto"/>
            <w:vAlign w:val="center"/>
            <w:hideMark/>
          </w:tcPr>
          <w:p w14:paraId="68B7C8B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Introduction to Climate Finance and International Climate Funds</w:t>
            </w:r>
          </w:p>
        </w:tc>
        <w:tc>
          <w:tcPr>
            <w:tcW w:w="1637" w:type="dxa"/>
            <w:tcBorders>
              <w:top w:val="nil"/>
              <w:left w:val="nil"/>
              <w:bottom w:val="single" w:sz="4" w:space="0" w:color="auto"/>
              <w:right w:val="single" w:sz="4" w:space="0" w:color="auto"/>
            </w:tcBorders>
            <w:shd w:val="clear" w:color="auto" w:fill="auto"/>
            <w:vAlign w:val="center"/>
            <w:hideMark/>
          </w:tcPr>
          <w:p w14:paraId="6D9B180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1087" w:type="dxa"/>
            <w:tcBorders>
              <w:top w:val="nil"/>
              <w:left w:val="nil"/>
              <w:bottom w:val="single" w:sz="4" w:space="0" w:color="auto"/>
              <w:right w:val="single" w:sz="4" w:space="0" w:color="auto"/>
            </w:tcBorders>
            <w:shd w:val="clear" w:color="auto" w:fill="auto"/>
            <w:vAlign w:val="center"/>
            <w:hideMark/>
          </w:tcPr>
          <w:p w14:paraId="71F5835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2-day workshop</w:t>
            </w:r>
          </w:p>
        </w:tc>
        <w:tc>
          <w:tcPr>
            <w:tcW w:w="3215" w:type="dxa"/>
            <w:tcBorders>
              <w:top w:val="nil"/>
              <w:left w:val="nil"/>
              <w:bottom w:val="single" w:sz="4" w:space="0" w:color="auto"/>
              <w:right w:val="single" w:sz="8" w:space="0" w:color="auto"/>
            </w:tcBorders>
            <w:shd w:val="clear" w:color="auto" w:fill="auto"/>
            <w:vAlign w:val="center"/>
            <w:hideMark/>
          </w:tcPr>
          <w:p w14:paraId="72BC35F5" w14:textId="77777777" w:rsidR="00B96700" w:rsidRPr="00AC0422" w:rsidRDefault="00B96700" w:rsidP="00391BF1">
            <w:pPr>
              <w:rPr>
                <w:rFonts w:asciiTheme="minorHAnsi" w:hAnsiTheme="minorHAnsi" w:cstheme="minorHAnsi"/>
                <w:color w:val="000000"/>
                <w:szCs w:val="20"/>
              </w:rPr>
            </w:pP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MoF, EPA, CAMA,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CSOs, private sector, academia</w:t>
            </w:r>
          </w:p>
        </w:tc>
      </w:tr>
      <w:tr w:rsidR="00B96700" w:rsidRPr="00AC0422" w14:paraId="57E2AA7B" w14:textId="77777777" w:rsidTr="00391BF1">
        <w:trPr>
          <w:trHeight w:val="963"/>
        </w:trPr>
        <w:tc>
          <w:tcPr>
            <w:tcW w:w="3972" w:type="dxa"/>
            <w:tcBorders>
              <w:top w:val="nil"/>
              <w:left w:val="single" w:sz="8" w:space="0" w:color="auto"/>
              <w:bottom w:val="single" w:sz="4" w:space="0" w:color="auto"/>
              <w:right w:val="single" w:sz="4" w:space="0" w:color="auto"/>
            </w:tcBorders>
            <w:shd w:val="clear" w:color="auto" w:fill="auto"/>
            <w:vAlign w:val="center"/>
            <w:hideMark/>
          </w:tcPr>
          <w:p w14:paraId="6FE1AA4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Accessing the Green Climate Fund (GCF): Policies, Investment Criteria, and Proposal Development</w:t>
            </w:r>
          </w:p>
        </w:tc>
        <w:tc>
          <w:tcPr>
            <w:tcW w:w="1637" w:type="dxa"/>
            <w:tcBorders>
              <w:top w:val="nil"/>
              <w:left w:val="nil"/>
              <w:bottom w:val="single" w:sz="4" w:space="0" w:color="auto"/>
              <w:right w:val="single" w:sz="4" w:space="0" w:color="auto"/>
            </w:tcBorders>
            <w:shd w:val="clear" w:color="auto" w:fill="auto"/>
            <w:vAlign w:val="center"/>
            <w:hideMark/>
          </w:tcPr>
          <w:p w14:paraId="3F4DA04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1087" w:type="dxa"/>
            <w:tcBorders>
              <w:top w:val="nil"/>
              <w:left w:val="nil"/>
              <w:bottom w:val="single" w:sz="4" w:space="0" w:color="auto"/>
              <w:right w:val="single" w:sz="4" w:space="0" w:color="auto"/>
            </w:tcBorders>
            <w:shd w:val="clear" w:color="auto" w:fill="auto"/>
            <w:vAlign w:val="center"/>
            <w:hideMark/>
          </w:tcPr>
          <w:p w14:paraId="2009EE9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3-day workshop</w:t>
            </w:r>
          </w:p>
        </w:tc>
        <w:tc>
          <w:tcPr>
            <w:tcW w:w="3215" w:type="dxa"/>
            <w:tcBorders>
              <w:top w:val="nil"/>
              <w:left w:val="nil"/>
              <w:bottom w:val="single" w:sz="4" w:space="0" w:color="auto"/>
              <w:right w:val="single" w:sz="8" w:space="0" w:color="auto"/>
            </w:tcBorders>
            <w:shd w:val="clear" w:color="auto" w:fill="auto"/>
            <w:vAlign w:val="center"/>
            <w:hideMark/>
          </w:tcPr>
          <w:p w14:paraId="38134FA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FWG members, NDA (GCF focal point),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CSOs, development partners</w:t>
            </w:r>
          </w:p>
        </w:tc>
      </w:tr>
      <w:tr w:rsidR="00B96700" w:rsidRPr="00AC0422" w14:paraId="156A2D67" w14:textId="77777777" w:rsidTr="00391BF1">
        <w:trPr>
          <w:trHeight w:val="963"/>
        </w:trPr>
        <w:tc>
          <w:tcPr>
            <w:tcW w:w="3972" w:type="dxa"/>
            <w:tcBorders>
              <w:top w:val="nil"/>
              <w:left w:val="single" w:sz="8" w:space="0" w:color="auto"/>
              <w:bottom w:val="single" w:sz="4" w:space="0" w:color="auto"/>
              <w:right w:val="single" w:sz="4" w:space="0" w:color="auto"/>
            </w:tcBorders>
            <w:shd w:val="clear" w:color="auto" w:fill="auto"/>
            <w:vAlign w:val="center"/>
            <w:hideMark/>
          </w:tcPr>
          <w:p w14:paraId="2DB3061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Adaptation Fund and GEF: Project Design, Eligibility, and Access Requirements</w:t>
            </w:r>
          </w:p>
        </w:tc>
        <w:tc>
          <w:tcPr>
            <w:tcW w:w="1637" w:type="dxa"/>
            <w:tcBorders>
              <w:top w:val="nil"/>
              <w:left w:val="nil"/>
              <w:bottom w:val="single" w:sz="4" w:space="0" w:color="auto"/>
              <w:right w:val="single" w:sz="4" w:space="0" w:color="auto"/>
            </w:tcBorders>
            <w:shd w:val="clear" w:color="auto" w:fill="auto"/>
            <w:vAlign w:val="center"/>
            <w:hideMark/>
          </w:tcPr>
          <w:p w14:paraId="47FDEFF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25 participants (10 women, 15 men)</w:t>
            </w:r>
          </w:p>
        </w:tc>
        <w:tc>
          <w:tcPr>
            <w:tcW w:w="1087" w:type="dxa"/>
            <w:tcBorders>
              <w:top w:val="nil"/>
              <w:left w:val="nil"/>
              <w:bottom w:val="single" w:sz="4" w:space="0" w:color="auto"/>
              <w:right w:val="single" w:sz="4" w:space="0" w:color="auto"/>
            </w:tcBorders>
            <w:shd w:val="clear" w:color="auto" w:fill="auto"/>
            <w:vAlign w:val="center"/>
            <w:hideMark/>
          </w:tcPr>
          <w:p w14:paraId="73EC568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2-day workshop</w:t>
            </w:r>
          </w:p>
        </w:tc>
        <w:tc>
          <w:tcPr>
            <w:tcW w:w="3215" w:type="dxa"/>
            <w:tcBorders>
              <w:top w:val="nil"/>
              <w:left w:val="nil"/>
              <w:bottom w:val="single" w:sz="4" w:space="0" w:color="auto"/>
              <w:right w:val="single" w:sz="8" w:space="0" w:color="auto"/>
            </w:tcBorders>
            <w:shd w:val="clear" w:color="auto" w:fill="auto"/>
            <w:vAlign w:val="center"/>
            <w:hideMark/>
          </w:tcPr>
          <w:p w14:paraId="4CC0A44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FWG members,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MoF, local authorities, private sector, academia</w:t>
            </w:r>
          </w:p>
        </w:tc>
      </w:tr>
      <w:tr w:rsidR="00B96700" w:rsidRPr="00AC0422" w14:paraId="7FCA2AF6" w14:textId="77777777" w:rsidTr="00391BF1">
        <w:trPr>
          <w:trHeight w:val="1204"/>
        </w:trPr>
        <w:tc>
          <w:tcPr>
            <w:tcW w:w="3972" w:type="dxa"/>
            <w:tcBorders>
              <w:top w:val="nil"/>
              <w:left w:val="single" w:sz="8" w:space="0" w:color="auto"/>
              <w:bottom w:val="single" w:sz="4" w:space="0" w:color="auto"/>
              <w:right w:val="single" w:sz="4" w:space="0" w:color="auto"/>
            </w:tcBorders>
            <w:shd w:val="clear" w:color="auto" w:fill="auto"/>
            <w:vAlign w:val="center"/>
            <w:hideMark/>
          </w:tcPr>
          <w:p w14:paraId="255C8F7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Finance Governance and Mainstreaming Adaptation Finance into National Budgets</w:t>
            </w:r>
          </w:p>
        </w:tc>
        <w:tc>
          <w:tcPr>
            <w:tcW w:w="1637" w:type="dxa"/>
            <w:tcBorders>
              <w:top w:val="nil"/>
              <w:left w:val="nil"/>
              <w:bottom w:val="single" w:sz="4" w:space="0" w:color="auto"/>
              <w:right w:val="single" w:sz="4" w:space="0" w:color="auto"/>
            </w:tcBorders>
            <w:shd w:val="clear" w:color="auto" w:fill="auto"/>
            <w:vAlign w:val="center"/>
            <w:hideMark/>
          </w:tcPr>
          <w:p w14:paraId="6AF8101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1087" w:type="dxa"/>
            <w:tcBorders>
              <w:top w:val="nil"/>
              <w:left w:val="nil"/>
              <w:bottom w:val="single" w:sz="4" w:space="0" w:color="auto"/>
              <w:right w:val="single" w:sz="4" w:space="0" w:color="auto"/>
            </w:tcBorders>
            <w:shd w:val="clear" w:color="auto" w:fill="auto"/>
            <w:vAlign w:val="center"/>
            <w:hideMark/>
          </w:tcPr>
          <w:p w14:paraId="498EDA2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2-day workshop</w:t>
            </w:r>
          </w:p>
        </w:tc>
        <w:tc>
          <w:tcPr>
            <w:tcW w:w="3215" w:type="dxa"/>
            <w:tcBorders>
              <w:top w:val="nil"/>
              <w:left w:val="nil"/>
              <w:bottom w:val="single" w:sz="4" w:space="0" w:color="auto"/>
              <w:right w:val="single" w:sz="8" w:space="0" w:color="auto"/>
            </w:tcBorders>
            <w:shd w:val="clear" w:color="auto" w:fill="auto"/>
            <w:vAlign w:val="center"/>
            <w:hideMark/>
          </w:tcPr>
          <w:p w14:paraId="0853540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MoF,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sectoral ministries (Water, Agriculture, Health), parliament representatives, local authorities</w:t>
            </w:r>
          </w:p>
        </w:tc>
      </w:tr>
      <w:tr w:rsidR="00B96700" w:rsidRPr="00AC0422" w14:paraId="23D193C7" w14:textId="77777777" w:rsidTr="00391BF1">
        <w:trPr>
          <w:trHeight w:val="963"/>
        </w:trPr>
        <w:tc>
          <w:tcPr>
            <w:tcW w:w="3972" w:type="dxa"/>
            <w:tcBorders>
              <w:top w:val="nil"/>
              <w:left w:val="single" w:sz="8" w:space="0" w:color="auto"/>
              <w:bottom w:val="single" w:sz="4" w:space="0" w:color="auto"/>
              <w:right w:val="single" w:sz="4" w:space="0" w:color="auto"/>
            </w:tcBorders>
            <w:shd w:val="clear" w:color="auto" w:fill="auto"/>
            <w:vAlign w:val="center"/>
            <w:hideMark/>
          </w:tcPr>
          <w:p w14:paraId="09DF0A9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Developing Bankable Adaptation Project Proposals for International Climate Finance</w:t>
            </w:r>
          </w:p>
        </w:tc>
        <w:tc>
          <w:tcPr>
            <w:tcW w:w="1637" w:type="dxa"/>
            <w:tcBorders>
              <w:top w:val="nil"/>
              <w:left w:val="nil"/>
              <w:bottom w:val="single" w:sz="4" w:space="0" w:color="auto"/>
              <w:right w:val="single" w:sz="4" w:space="0" w:color="auto"/>
            </w:tcBorders>
            <w:shd w:val="clear" w:color="auto" w:fill="auto"/>
            <w:vAlign w:val="center"/>
            <w:hideMark/>
          </w:tcPr>
          <w:p w14:paraId="4CA619F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35 participants (14 women, 21 men)</w:t>
            </w:r>
          </w:p>
        </w:tc>
        <w:tc>
          <w:tcPr>
            <w:tcW w:w="1087" w:type="dxa"/>
            <w:tcBorders>
              <w:top w:val="nil"/>
              <w:left w:val="nil"/>
              <w:bottom w:val="single" w:sz="4" w:space="0" w:color="auto"/>
              <w:right w:val="single" w:sz="4" w:space="0" w:color="auto"/>
            </w:tcBorders>
            <w:shd w:val="clear" w:color="auto" w:fill="auto"/>
            <w:vAlign w:val="center"/>
            <w:hideMark/>
          </w:tcPr>
          <w:p w14:paraId="1B402EF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3-day practical workshop</w:t>
            </w:r>
          </w:p>
        </w:tc>
        <w:tc>
          <w:tcPr>
            <w:tcW w:w="3215" w:type="dxa"/>
            <w:tcBorders>
              <w:top w:val="nil"/>
              <w:left w:val="nil"/>
              <w:bottom w:val="single" w:sz="4" w:space="0" w:color="auto"/>
              <w:right w:val="single" w:sz="8" w:space="0" w:color="auto"/>
            </w:tcBorders>
            <w:shd w:val="clear" w:color="auto" w:fill="auto"/>
            <w:vAlign w:val="center"/>
            <w:hideMark/>
          </w:tcPr>
          <w:p w14:paraId="08579A9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FWG members,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MoF, CSOs, private sector</w:t>
            </w:r>
          </w:p>
        </w:tc>
      </w:tr>
      <w:tr w:rsidR="00B96700" w:rsidRPr="00AC0422" w14:paraId="658AAFA5" w14:textId="77777777" w:rsidTr="00391BF1">
        <w:trPr>
          <w:trHeight w:val="963"/>
        </w:trPr>
        <w:tc>
          <w:tcPr>
            <w:tcW w:w="3972" w:type="dxa"/>
            <w:tcBorders>
              <w:top w:val="nil"/>
              <w:left w:val="single" w:sz="8" w:space="0" w:color="auto"/>
              <w:bottom w:val="single" w:sz="4" w:space="0" w:color="auto"/>
              <w:right w:val="single" w:sz="4" w:space="0" w:color="auto"/>
            </w:tcBorders>
            <w:shd w:val="clear" w:color="auto" w:fill="auto"/>
            <w:vAlign w:val="center"/>
            <w:hideMark/>
          </w:tcPr>
          <w:p w14:paraId="3A1F10B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 Finance Tracking, Monitoring, and Reporting Mechanisms</w:t>
            </w:r>
          </w:p>
        </w:tc>
        <w:tc>
          <w:tcPr>
            <w:tcW w:w="1637" w:type="dxa"/>
            <w:tcBorders>
              <w:top w:val="nil"/>
              <w:left w:val="nil"/>
              <w:bottom w:val="single" w:sz="4" w:space="0" w:color="auto"/>
              <w:right w:val="single" w:sz="4" w:space="0" w:color="auto"/>
            </w:tcBorders>
            <w:shd w:val="clear" w:color="auto" w:fill="auto"/>
            <w:vAlign w:val="center"/>
            <w:hideMark/>
          </w:tcPr>
          <w:p w14:paraId="54D1D52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25 participants (10 women, 15 men)</w:t>
            </w:r>
          </w:p>
        </w:tc>
        <w:tc>
          <w:tcPr>
            <w:tcW w:w="1087" w:type="dxa"/>
            <w:tcBorders>
              <w:top w:val="nil"/>
              <w:left w:val="nil"/>
              <w:bottom w:val="single" w:sz="4" w:space="0" w:color="auto"/>
              <w:right w:val="single" w:sz="4" w:space="0" w:color="auto"/>
            </w:tcBorders>
            <w:shd w:val="clear" w:color="auto" w:fill="auto"/>
            <w:vAlign w:val="center"/>
            <w:hideMark/>
          </w:tcPr>
          <w:p w14:paraId="10EB701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2-day workshop</w:t>
            </w:r>
          </w:p>
        </w:tc>
        <w:tc>
          <w:tcPr>
            <w:tcW w:w="3215" w:type="dxa"/>
            <w:tcBorders>
              <w:top w:val="nil"/>
              <w:left w:val="nil"/>
              <w:bottom w:val="single" w:sz="4" w:space="0" w:color="auto"/>
              <w:right w:val="single" w:sz="8" w:space="0" w:color="auto"/>
            </w:tcBorders>
            <w:shd w:val="clear" w:color="auto" w:fill="auto"/>
            <w:vAlign w:val="center"/>
            <w:hideMark/>
          </w:tcPr>
          <w:p w14:paraId="333724C7"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FWG members, MoF,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EPA, sectoral ministries, local government</w:t>
            </w:r>
          </w:p>
        </w:tc>
      </w:tr>
      <w:tr w:rsidR="00B96700" w:rsidRPr="00AC0422" w14:paraId="45234D10" w14:textId="77777777" w:rsidTr="00391BF1">
        <w:trPr>
          <w:trHeight w:val="963"/>
        </w:trPr>
        <w:tc>
          <w:tcPr>
            <w:tcW w:w="3972" w:type="dxa"/>
            <w:tcBorders>
              <w:top w:val="nil"/>
              <w:left w:val="single" w:sz="8" w:space="0" w:color="auto"/>
              <w:bottom w:val="single" w:sz="4" w:space="0" w:color="auto"/>
              <w:right w:val="single" w:sz="4" w:space="0" w:color="auto"/>
            </w:tcBorders>
            <w:shd w:val="clear" w:color="auto" w:fill="auto"/>
            <w:vAlign w:val="center"/>
            <w:hideMark/>
          </w:tcPr>
          <w:p w14:paraId="1481467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Innovative Financing Instruments for Adaptation (Blended Finance, Public-Private Partnerships, Insurance Solutions)</w:t>
            </w:r>
          </w:p>
        </w:tc>
        <w:tc>
          <w:tcPr>
            <w:tcW w:w="1637" w:type="dxa"/>
            <w:tcBorders>
              <w:top w:val="nil"/>
              <w:left w:val="nil"/>
              <w:bottom w:val="single" w:sz="4" w:space="0" w:color="auto"/>
              <w:right w:val="single" w:sz="4" w:space="0" w:color="auto"/>
            </w:tcBorders>
            <w:shd w:val="clear" w:color="auto" w:fill="auto"/>
            <w:vAlign w:val="center"/>
            <w:hideMark/>
          </w:tcPr>
          <w:p w14:paraId="3E7981A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25 participants (10 women, 15 men)</w:t>
            </w:r>
          </w:p>
        </w:tc>
        <w:tc>
          <w:tcPr>
            <w:tcW w:w="1087" w:type="dxa"/>
            <w:tcBorders>
              <w:top w:val="nil"/>
              <w:left w:val="nil"/>
              <w:bottom w:val="single" w:sz="4" w:space="0" w:color="auto"/>
              <w:right w:val="single" w:sz="4" w:space="0" w:color="auto"/>
            </w:tcBorders>
            <w:shd w:val="clear" w:color="auto" w:fill="auto"/>
            <w:vAlign w:val="center"/>
            <w:hideMark/>
          </w:tcPr>
          <w:p w14:paraId="566E9FA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3-day training</w:t>
            </w:r>
          </w:p>
        </w:tc>
        <w:tc>
          <w:tcPr>
            <w:tcW w:w="3215" w:type="dxa"/>
            <w:tcBorders>
              <w:top w:val="nil"/>
              <w:left w:val="nil"/>
              <w:bottom w:val="single" w:sz="4" w:space="0" w:color="auto"/>
              <w:right w:val="single" w:sz="8" w:space="0" w:color="auto"/>
            </w:tcBorders>
            <w:shd w:val="clear" w:color="auto" w:fill="auto"/>
            <w:vAlign w:val="center"/>
            <w:hideMark/>
          </w:tcPr>
          <w:p w14:paraId="6CEFC346"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FWG members, MoF, private sector, financial institutions, donors</w:t>
            </w:r>
          </w:p>
        </w:tc>
      </w:tr>
      <w:tr w:rsidR="00B96700" w:rsidRPr="00AC0422" w14:paraId="68FBECE4" w14:textId="77777777" w:rsidTr="00391BF1">
        <w:trPr>
          <w:trHeight w:val="975"/>
        </w:trPr>
        <w:tc>
          <w:tcPr>
            <w:tcW w:w="3972" w:type="dxa"/>
            <w:tcBorders>
              <w:top w:val="nil"/>
              <w:left w:val="single" w:sz="8" w:space="0" w:color="auto"/>
              <w:bottom w:val="single" w:sz="8" w:space="0" w:color="auto"/>
              <w:right w:val="single" w:sz="4" w:space="0" w:color="auto"/>
            </w:tcBorders>
            <w:shd w:val="clear" w:color="auto" w:fill="auto"/>
            <w:vAlign w:val="center"/>
            <w:hideMark/>
          </w:tcPr>
          <w:p w14:paraId="7650499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Stakeholder Engagement in Adaptation Finance and Leveraging Co-Financing</w:t>
            </w:r>
          </w:p>
        </w:tc>
        <w:tc>
          <w:tcPr>
            <w:tcW w:w="1637" w:type="dxa"/>
            <w:tcBorders>
              <w:top w:val="nil"/>
              <w:left w:val="nil"/>
              <w:bottom w:val="single" w:sz="8" w:space="0" w:color="auto"/>
              <w:right w:val="single" w:sz="4" w:space="0" w:color="auto"/>
            </w:tcBorders>
            <w:shd w:val="clear" w:color="auto" w:fill="auto"/>
            <w:vAlign w:val="center"/>
            <w:hideMark/>
          </w:tcPr>
          <w:p w14:paraId="0123D31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1087" w:type="dxa"/>
            <w:tcBorders>
              <w:top w:val="nil"/>
              <w:left w:val="nil"/>
              <w:bottom w:val="single" w:sz="8" w:space="0" w:color="auto"/>
              <w:right w:val="single" w:sz="4" w:space="0" w:color="auto"/>
            </w:tcBorders>
            <w:shd w:val="clear" w:color="auto" w:fill="auto"/>
            <w:vAlign w:val="center"/>
            <w:hideMark/>
          </w:tcPr>
          <w:p w14:paraId="5666CE4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2-day interactive workshop</w:t>
            </w:r>
          </w:p>
        </w:tc>
        <w:tc>
          <w:tcPr>
            <w:tcW w:w="3215" w:type="dxa"/>
            <w:tcBorders>
              <w:top w:val="nil"/>
              <w:left w:val="nil"/>
              <w:bottom w:val="single" w:sz="8" w:space="0" w:color="auto"/>
              <w:right w:val="single" w:sz="8" w:space="0" w:color="auto"/>
            </w:tcBorders>
            <w:shd w:val="clear" w:color="auto" w:fill="auto"/>
            <w:vAlign w:val="center"/>
            <w:hideMark/>
          </w:tcPr>
          <w:p w14:paraId="41049CB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FWG members, donors, development banks, CSOs, sectoral ministries, private sector</w:t>
            </w:r>
          </w:p>
        </w:tc>
      </w:tr>
      <w:bookmarkEnd w:id="28"/>
    </w:tbl>
    <w:p w14:paraId="23BBE8AE" w14:textId="77777777" w:rsidR="00B96700" w:rsidRPr="00AC0422" w:rsidRDefault="00B96700" w:rsidP="00B96700">
      <w:pPr>
        <w:spacing w:after="120"/>
        <w:ind w:right="-28"/>
        <w:rPr>
          <w:rFonts w:asciiTheme="minorHAnsi" w:hAnsiTheme="minorHAnsi" w:cstheme="minorHAnsi"/>
          <w:i/>
          <w:iCs/>
          <w:szCs w:val="20"/>
          <w:u w:val="single"/>
          <w:lang w:val="en-GB" w:eastAsia="en-GB"/>
        </w:rPr>
      </w:pPr>
    </w:p>
    <w:p w14:paraId="7ADA2CBB"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3.4.3.1b: Assess the funding gap between available funding for climate change adaptation and the costing of adaptation options determined in the adaptation action plans and frameworks developed under Output 3.1.1 in collaboration with the cross sectoral FWG</w:t>
      </w:r>
    </w:p>
    <w:p w14:paraId="1EF2F3C1"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Under this activity, the project will </w:t>
      </w:r>
      <w:r w:rsidRPr="00AC0422">
        <w:rPr>
          <w:rFonts w:asciiTheme="minorHAnsi" w:hAnsiTheme="minorHAnsi" w:cstheme="minorHAnsi"/>
          <w:b/>
          <w:bCs/>
          <w:szCs w:val="20"/>
          <w:lang w:val="en-GB" w:eastAsia="en-GB"/>
        </w:rPr>
        <w:t>review adaptation options and costs</w:t>
      </w:r>
      <w:r w:rsidRPr="00AC0422">
        <w:rPr>
          <w:rFonts w:asciiTheme="minorHAnsi" w:hAnsiTheme="minorHAnsi" w:cstheme="minorHAnsi"/>
          <w:szCs w:val="20"/>
          <w:lang w:val="en-GB" w:eastAsia="en-GB"/>
        </w:rPr>
        <w:t>. It will compile costing data for adaptation measures identified under Output 3.1.1 (sectoral adaptation plans and frameworks) and categorize costs by sector and priority.</w:t>
      </w:r>
    </w:p>
    <w:p w14:paraId="697DE34A"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 xml:space="preserve">The project will provide expertise to support the </w:t>
      </w:r>
      <w:r w:rsidRPr="00AC0422">
        <w:rPr>
          <w:rFonts w:asciiTheme="minorHAnsi" w:hAnsiTheme="minorHAnsi" w:cstheme="minorHAnsi"/>
          <w:b/>
          <w:bCs/>
          <w:szCs w:val="20"/>
          <w:lang w:val="en-GB" w:eastAsia="en-GB"/>
        </w:rPr>
        <w:t>analyse of available funding</w:t>
      </w:r>
      <w:r w:rsidRPr="00AC0422">
        <w:rPr>
          <w:rFonts w:asciiTheme="minorHAnsi" w:hAnsiTheme="minorHAnsi" w:cstheme="minorHAnsi"/>
          <w:szCs w:val="20"/>
          <w:lang w:val="en-GB" w:eastAsia="en-GB"/>
        </w:rPr>
        <w:t xml:space="preserve">, mapping existing funding sources, including domestic budgets, international funds, and private sector contributions, and document financial commitments and gaps for each adaptation priority. </w:t>
      </w:r>
      <w:r w:rsidRPr="00AC0422">
        <w:rPr>
          <w:rFonts w:asciiTheme="minorHAnsi" w:hAnsiTheme="minorHAnsi" w:cstheme="minorHAnsi"/>
          <w:b/>
          <w:bCs/>
          <w:szCs w:val="20"/>
          <w:lang w:val="en-GB" w:eastAsia="en-GB"/>
        </w:rPr>
        <w:t xml:space="preserve">Funding Gap Analysis </w:t>
      </w:r>
      <w:r w:rsidRPr="00AC0422">
        <w:rPr>
          <w:rFonts w:asciiTheme="minorHAnsi" w:hAnsiTheme="minorHAnsi" w:cstheme="minorHAnsi"/>
          <w:szCs w:val="20"/>
          <w:lang w:val="en-GB" w:eastAsia="en-GB"/>
        </w:rPr>
        <w:t xml:space="preserve">will be done to compare available funding with the projected costs of adaptation measures to identify gaps, providing disaggregated findings by sector, geographic region, and beneficiary group. Draft </w:t>
      </w:r>
      <w:r w:rsidRPr="00AC0422">
        <w:rPr>
          <w:rFonts w:asciiTheme="minorHAnsi" w:hAnsiTheme="minorHAnsi" w:cstheme="minorHAnsi"/>
          <w:b/>
          <w:bCs/>
          <w:szCs w:val="20"/>
          <w:lang w:val="en-GB" w:eastAsia="en-GB"/>
        </w:rPr>
        <w:t>gap analysis</w:t>
      </w:r>
      <w:r w:rsidRPr="00AC0422">
        <w:rPr>
          <w:rFonts w:asciiTheme="minorHAnsi" w:hAnsiTheme="minorHAnsi" w:cstheme="minorHAnsi"/>
          <w:szCs w:val="20"/>
          <w:lang w:val="en-GB" w:eastAsia="en-GB"/>
        </w:rPr>
        <w:t xml:space="preserve"> will be shared with the FWG for validation and feedback and the analysis based on inputs from stakeholders.</w:t>
      </w:r>
    </w:p>
    <w:p w14:paraId="1D858638" w14:textId="77777777" w:rsidR="00B96700" w:rsidRPr="00AC0422" w:rsidRDefault="00B96700" w:rsidP="00B96700">
      <w:pPr>
        <w:tabs>
          <w:tab w:val="num" w:pos="72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project will ensure data accuracy by consulting multiple sources and stakeholders and will address potential underreporting of available funding due to fragmented information.  It will also highlight funding needs for vulnerable populations and conflict-affected regions. The outcome of the assessment will be a comprehensive funding gap analysis report, and sectoral and cross-sectoral breakdown of funding gaps.</w:t>
      </w:r>
    </w:p>
    <w:p w14:paraId="267AE13F"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3.4.3.1c: Convene three annual one-day workshops for the FWG to review potential funding sources to bridge the funding gaps identified under Activity 3.4.3.1b.</w:t>
      </w:r>
    </w:p>
    <w:p w14:paraId="531FEBA0"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Based on the outcome of the funding analysis to be undertaken in Activity 3.4.3.1c, workshops will be held to review its findings. Each workshop will focus on reviewing funding sources, prioritizing actions, and exploring innovative financing mechanisms. The meeting will gather representatives from international funding agencies, development partners, and private sector investors.</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It will facilitate discussions on traditional and innovative funding sources, such as blended finance, public-private partnerships, and green bonds, and document potential funding opportunities and actionable next steps.</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Tasks will be assigned to FWG members for pursuing identified funding opportunities and a tracking system developed to monitor progress on funding applications.</w:t>
      </w:r>
      <w:r w:rsidRPr="00AC0422">
        <w:rPr>
          <w:rFonts w:asciiTheme="minorHAnsi" w:hAnsiTheme="minorHAnsi" w:cstheme="minorHAnsi"/>
          <w:b/>
          <w:bCs/>
          <w:szCs w:val="20"/>
          <w:lang w:val="en-GB" w:eastAsia="en-GB"/>
        </w:rPr>
        <w:t xml:space="preserve"> </w:t>
      </w:r>
      <w:r w:rsidRPr="00AC0422">
        <w:rPr>
          <w:rFonts w:asciiTheme="minorHAnsi" w:hAnsiTheme="minorHAnsi" w:cstheme="minorHAnsi"/>
          <w:szCs w:val="20"/>
          <w:lang w:val="en-GB" w:eastAsia="en-GB"/>
        </w:rPr>
        <w:t xml:space="preserve">Workshop reports summarizing discussions, outcomes, and follow-up actions will be generated on prioritized funding opportunities and potential partners. </w:t>
      </w:r>
    </w:p>
    <w:p w14:paraId="0A9F4CBE"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workshops will ensure that the FWG remains proactive in mobilizing funds, continuously assessing new opportunities, and tracking funding applications.</w:t>
      </w:r>
    </w:p>
    <w:p w14:paraId="1C4FD2EB" w14:textId="77777777" w:rsidR="00B96700" w:rsidRPr="00AC0422" w:rsidRDefault="00B96700" w:rsidP="00B96700">
      <w:pPr>
        <w:pStyle w:val="Caption"/>
        <w:keepNext/>
        <w:rPr>
          <w:rFonts w:asciiTheme="minorHAnsi" w:hAnsiTheme="minorHAnsi" w:cstheme="minorHAnsi"/>
          <w:sz w:val="20"/>
          <w:szCs w:val="20"/>
        </w:rPr>
      </w:pPr>
      <w:r w:rsidRPr="00AC0422">
        <w:rPr>
          <w:rFonts w:asciiTheme="minorHAnsi" w:hAnsiTheme="minorHAnsi" w:cstheme="minorHAnsi"/>
          <w:sz w:val="20"/>
          <w:szCs w:val="20"/>
        </w:rPr>
        <w:lastRenderedPageBreak/>
        <w:t xml:space="preserve">Table </w:t>
      </w:r>
      <w:r w:rsidRPr="00AC0422">
        <w:rPr>
          <w:rFonts w:asciiTheme="minorHAnsi" w:hAnsiTheme="minorHAnsi" w:cstheme="minorHAnsi"/>
          <w:sz w:val="20"/>
          <w:szCs w:val="20"/>
        </w:rPr>
        <w:fldChar w:fldCharType="begin"/>
      </w:r>
      <w:r w:rsidRPr="00AC0422">
        <w:rPr>
          <w:rFonts w:asciiTheme="minorHAnsi" w:hAnsiTheme="minorHAnsi" w:cstheme="minorHAnsi"/>
          <w:sz w:val="20"/>
          <w:szCs w:val="20"/>
        </w:rPr>
        <w:instrText xml:space="preserve"> SEQ Table \* ARABIC </w:instrText>
      </w:r>
      <w:r w:rsidRPr="00AC0422">
        <w:rPr>
          <w:rFonts w:asciiTheme="minorHAnsi" w:hAnsiTheme="minorHAnsi" w:cstheme="minorHAnsi"/>
          <w:sz w:val="20"/>
          <w:szCs w:val="20"/>
        </w:rPr>
        <w:fldChar w:fldCharType="separate"/>
      </w:r>
      <w:r w:rsidRPr="00AC0422">
        <w:rPr>
          <w:rFonts w:asciiTheme="minorHAnsi" w:hAnsiTheme="minorHAnsi" w:cstheme="minorHAnsi"/>
          <w:sz w:val="20"/>
          <w:szCs w:val="20"/>
        </w:rPr>
        <w:t>18</w:t>
      </w:r>
      <w:r w:rsidRPr="00AC0422">
        <w:rPr>
          <w:rFonts w:asciiTheme="minorHAnsi" w:hAnsiTheme="minorHAnsi" w:cstheme="minorHAnsi"/>
          <w:sz w:val="20"/>
          <w:szCs w:val="20"/>
        </w:rPr>
        <w:fldChar w:fldCharType="end"/>
      </w:r>
      <w:r w:rsidRPr="00AC0422">
        <w:rPr>
          <w:rFonts w:asciiTheme="minorHAnsi" w:hAnsiTheme="minorHAnsi" w:cstheme="minorHAnsi"/>
          <w:sz w:val="20"/>
          <w:szCs w:val="20"/>
        </w:rPr>
        <w:t>: Activity 3.4.3.1c Training topics, participants and targeted stakeholders.</w:t>
      </w:r>
    </w:p>
    <w:tbl>
      <w:tblPr>
        <w:tblW w:w="10031" w:type="dxa"/>
        <w:tblLook w:val="04A0" w:firstRow="1" w:lastRow="0" w:firstColumn="1" w:lastColumn="0" w:noHBand="0" w:noVBand="1"/>
      </w:tblPr>
      <w:tblGrid>
        <w:gridCol w:w="1549"/>
        <w:gridCol w:w="4111"/>
        <w:gridCol w:w="1276"/>
        <w:gridCol w:w="1244"/>
        <w:gridCol w:w="1851"/>
      </w:tblGrid>
      <w:tr w:rsidR="00B96700" w:rsidRPr="00AC0422" w14:paraId="502A546B" w14:textId="77777777" w:rsidTr="00391BF1">
        <w:trPr>
          <w:trHeight w:val="791"/>
        </w:trPr>
        <w:tc>
          <w:tcPr>
            <w:tcW w:w="154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D5B3632"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Workshop Title</w:t>
            </w:r>
          </w:p>
        </w:tc>
        <w:tc>
          <w:tcPr>
            <w:tcW w:w="4111" w:type="dxa"/>
            <w:tcBorders>
              <w:top w:val="single" w:sz="8" w:space="0" w:color="auto"/>
              <w:left w:val="nil"/>
              <w:bottom w:val="single" w:sz="4" w:space="0" w:color="auto"/>
              <w:right w:val="single" w:sz="4" w:space="0" w:color="auto"/>
            </w:tcBorders>
            <w:shd w:val="clear" w:color="auto" w:fill="auto"/>
            <w:vAlign w:val="center"/>
            <w:hideMark/>
          </w:tcPr>
          <w:p w14:paraId="6F3AF82C"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Topics Covered</w:t>
            </w:r>
          </w:p>
        </w:tc>
        <w:tc>
          <w:tcPr>
            <w:tcW w:w="1276" w:type="dxa"/>
            <w:tcBorders>
              <w:top w:val="single" w:sz="8" w:space="0" w:color="auto"/>
              <w:left w:val="nil"/>
              <w:bottom w:val="single" w:sz="4" w:space="0" w:color="auto"/>
              <w:right w:val="single" w:sz="4" w:space="0" w:color="auto"/>
            </w:tcBorders>
            <w:shd w:val="clear" w:color="auto" w:fill="auto"/>
            <w:vAlign w:val="center"/>
            <w:hideMark/>
          </w:tcPr>
          <w:p w14:paraId="444FB249"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Estimated Number of Participants (Gender Target: 40% Women, 60% Men)</w:t>
            </w:r>
          </w:p>
        </w:tc>
        <w:tc>
          <w:tcPr>
            <w:tcW w:w="1244" w:type="dxa"/>
            <w:tcBorders>
              <w:top w:val="single" w:sz="8" w:space="0" w:color="auto"/>
              <w:left w:val="nil"/>
              <w:bottom w:val="single" w:sz="4" w:space="0" w:color="auto"/>
              <w:right w:val="single" w:sz="4" w:space="0" w:color="auto"/>
            </w:tcBorders>
            <w:shd w:val="clear" w:color="auto" w:fill="auto"/>
            <w:vAlign w:val="center"/>
            <w:hideMark/>
          </w:tcPr>
          <w:p w14:paraId="40776F90"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Length/</w:t>
            </w:r>
          </w:p>
          <w:p w14:paraId="40FFC75F"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Duration</w:t>
            </w:r>
          </w:p>
        </w:tc>
        <w:tc>
          <w:tcPr>
            <w:tcW w:w="1851" w:type="dxa"/>
            <w:tcBorders>
              <w:top w:val="single" w:sz="8" w:space="0" w:color="auto"/>
              <w:left w:val="nil"/>
              <w:bottom w:val="single" w:sz="4" w:space="0" w:color="auto"/>
              <w:right w:val="single" w:sz="8" w:space="0" w:color="auto"/>
            </w:tcBorders>
            <w:shd w:val="clear" w:color="auto" w:fill="auto"/>
            <w:vAlign w:val="center"/>
            <w:hideMark/>
          </w:tcPr>
          <w:p w14:paraId="2F905C1B"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Targeted Stakeholders</w:t>
            </w:r>
          </w:p>
        </w:tc>
      </w:tr>
      <w:tr w:rsidR="00B96700" w:rsidRPr="00AC0422" w14:paraId="1DFAA39B" w14:textId="77777777" w:rsidTr="00391BF1">
        <w:trPr>
          <w:trHeight w:val="1848"/>
        </w:trPr>
        <w:tc>
          <w:tcPr>
            <w:tcW w:w="1549" w:type="dxa"/>
            <w:tcBorders>
              <w:top w:val="nil"/>
              <w:left w:val="single" w:sz="8" w:space="0" w:color="auto"/>
              <w:bottom w:val="single" w:sz="4" w:space="0" w:color="auto"/>
              <w:right w:val="single" w:sz="4" w:space="0" w:color="auto"/>
            </w:tcBorders>
            <w:shd w:val="clear" w:color="auto" w:fill="auto"/>
            <w:vAlign w:val="center"/>
            <w:hideMark/>
          </w:tcPr>
          <w:p w14:paraId="02F57A3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Workshop 1: Mapping Traditional and Emerging Climate Finance Sources</w:t>
            </w:r>
          </w:p>
        </w:tc>
        <w:tc>
          <w:tcPr>
            <w:tcW w:w="4111" w:type="dxa"/>
            <w:tcBorders>
              <w:top w:val="nil"/>
              <w:left w:val="nil"/>
              <w:bottom w:val="single" w:sz="4" w:space="0" w:color="auto"/>
              <w:right w:val="single" w:sz="4" w:space="0" w:color="auto"/>
            </w:tcBorders>
            <w:shd w:val="clear" w:color="auto" w:fill="auto"/>
            <w:vAlign w:val="center"/>
            <w:hideMark/>
          </w:tcPr>
          <w:p w14:paraId="1E5D842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Presentation of funding analysis (Activity 3.4.3.1b); Reviewing traditional adaptation finance sources (Green Climate Fund, Adaptation Fund, Global Environment Facility, bilateral/multilateral donors); Introduction to emerging funding sources (climate bonds, carbon markets, impact investment); Case studies of climate finance mobilization in LDCs.</w:t>
            </w:r>
          </w:p>
        </w:tc>
        <w:tc>
          <w:tcPr>
            <w:tcW w:w="1276" w:type="dxa"/>
            <w:tcBorders>
              <w:top w:val="nil"/>
              <w:left w:val="nil"/>
              <w:bottom w:val="single" w:sz="4" w:space="0" w:color="auto"/>
              <w:right w:val="single" w:sz="4" w:space="0" w:color="auto"/>
            </w:tcBorders>
            <w:shd w:val="clear" w:color="auto" w:fill="auto"/>
            <w:vAlign w:val="center"/>
            <w:hideMark/>
          </w:tcPr>
          <w:p w14:paraId="04A41B5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35 participants (14 women, 21 men)</w:t>
            </w:r>
          </w:p>
        </w:tc>
        <w:tc>
          <w:tcPr>
            <w:tcW w:w="1244" w:type="dxa"/>
            <w:tcBorders>
              <w:top w:val="nil"/>
              <w:left w:val="nil"/>
              <w:bottom w:val="single" w:sz="4" w:space="0" w:color="auto"/>
              <w:right w:val="single" w:sz="4" w:space="0" w:color="auto"/>
            </w:tcBorders>
            <w:shd w:val="clear" w:color="auto" w:fill="auto"/>
            <w:vAlign w:val="center"/>
            <w:hideMark/>
          </w:tcPr>
          <w:p w14:paraId="26B9F8E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1 day</w:t>
            </w:r>
          </w:p>
        </w:tc>
        <w:tc>
          <w:tcPr>
            <w:tcW w:w="1851" w:type="dxa"/>
            <w:tcBorders>
              <w:top w:val="nil"/>
              <w:left w:val="nil"/>
              <w:bottom w:val="single" w:sz="4" w:space="0" w:color="auto"/>
              <w:right w:val="single" w:sz="8" w:space="0" w:color="auto"/>
            </w:tcBorders>
            <w:shd w:val="clear" w:color="auto" w:fill="auto"/>
            <w:vAlign w:val="center"/>
            <w:hideMark/>
          </w:tcPr>
          <w:p w14:paraId="478D978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FWG members,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MoF, EPA, CAMA,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UNDP, FAO, UNEP, World Bank, private sector, financial institutions.</w:t>
            </w:r>
          </w:p>
        </w:tc>
      </w:tr>
      <w:tr w:rsidR="00B96700" w:rsidRPr="00AC0422" w14:paraId="47947060" w14:textId="77777777" w:rsidTr="00391BF1">
        <w:trPr>
          <w:trHeight w:val="1583"/>
        </w:trPr>
        <w:tc>
          <w:tcPr>
            <w:tcW w:w="1549" w:type="dxa"/>
            <w:tcBorders>
              <w:top w:val="nil"/>
              <w:left w:val="single" w:sz="8" w:space="0" w:color="auto"/>
              <w:bottom w:val="single" w:sz="4" w:space="0" w:color="auto"/>
              <w:right w:val="single" w:sz="4" w:space="0" w:color="auto"/>
            </w:tcBorders>
            <w:shd w:val="clear" w:color="auto" w:fill="auto"/>
            <w:vAlign w:val="center"/>
            <w:hideMark/>
          </w:tcPr>
          <w:p w14:paraId="3363466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Workshop 2: Innovative Financing Mechanisms for Adaptation in Yemen</w:t>
            </w:r>
          </w:p>
        </w:tc>
        <w:tc>
          <w:tcPr>
            <w:tcW w:w="4111" w:type="dxa"/>
            <w:tcBorders>
              <w:top w:val="nil"/>
              <w:left w:val="nil"/>
              <w:bottom w:val="single" w:sz="4" w:space="0" w:color="auto"/>
              <w:right w:val="single" w:sz="4" w:space="0" w:color="auto"/>
            </w:tcBorders>
            <w:shd w:val="clear" w:color="auto" w:fill="auto"/>
            <w:vAlign w:val="center"/>
            <w:hideMark/>
          </w:tcPr>
          <w:p w14:paraId="0291AAA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Exploring blended finance, public-private partnerships (PPPs), and risk transfer mechanisms (insurance, resilience bonds); Private sector engagement strategies; Mobilizing domestic finance for adaptation; Identifying key sectors for private investment in adaptation (water, agriculture, coastal resilience).</w:t>
            </w:r>
          </w:p>
        </w:tc>
        <w:tc>
          <w:tcPr>
            <w:tcW w:w="1276" w:type="dxa"/>
            <w:tcBorders>
              <w:top w:val="nil"/>
              <w:left w:val="nil"/>
              <w:bottom w:val="single" w:sz="4" w:space="0" w:color="auto"/>
              <w:right w:val="single" w:sz="4" w:space="0" w:color="auto"/>
            </w:tcBorders>
            <w:shd w:val="clear" w:color="auto" w:fill="auto"/>
            <w:vAlign w:val="center"/>
            <w:hideMark/>
          </w:tcPr>
          <w:p w14:paraId="294B8C9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1244" w:type="dxa"/>
            <w:tcBorders>
              <w:top w:val="nil"/>
              <w:left w:val="nil"/>
              <w:bottom w:val="single" w:sz="4" w:space="0" w:color="auto"/>
              <w:right w:val="single" w:sz="4" w:space="0" w:color="auto"/>
            </w:tcBorders>
            <w:shd w:val="clear" w:color="auto" w:fill="auto"/>
            <w:vAlign w:val="center"/>
            <w:hideMark/>
          </w:tcPr>
          <w:p w14:paraId="525DA69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1 day</w:t>
            </w:r>
          </w:p>
        </w:tc>
        <w:tc>
          <w:tcPr>
            <w:tcW w:w="1851" w:type="dxa"/>
            <w:tcBorders>
              <w:top w:val="nil"/>
              <w:left w:val="nil"/>
              <w:bottom w:val="single" w:sz="4" w:space="0" w:color="auto"/>
              <w:right w:val="single" w:sz="8" w:space="0" w:color="auto"/>
            </w:tcBorders>
            <w:shd w:val="clear" w:color="auto" w:fill="auto"/>
            <w:vAlign w:val="center"/>
            <w:hideMark/>
          </w:tcPr>
          <w:p w14:paraId="6DCC097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FWG members,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MoF, private sector, commercial banks, development banks, investment funds, Chamber of Commerce.</w:t>
            </w:r>
          </w:p>
        </w:tc>
      </w:tr>
      <w:tr w:rsidR="00B96700" w:rsidRPr="00AC0422" w14:paraId="2467BE40" w14:textId="77777777" w:rsidTr="00391BF1">
        <w:trPr>
          <w:trHeight w:val="558"/>
        </w:trPr>
        <w:tc>
          <w:tcPr>
            <w:tcW w:w="1549" w:type="dxa"/>
            <w:tcBorders>
              <w:top w:val="nil"/>
              <w:left w:val="single" w:sz="8" w:space="0" w:color="auto"/>
              <w:bottom w:val="single" w:sz="8" w:space="0" w:color="auto"/>
              <w:right w:val="single" w:sz="4" w:space="0" w:color="auto"/>
            </w:tcBorders>
            <w:shd w:val="clear" w:color="auto" w:fill="auto"/>
            <w:vAlign w:val="center"/>
            <w:hideMark/>
          </w:tcPr>
          <w:p w14:paraId="24A7F1A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Workshop 3: Prioritizing Funding Opportunities and Developing Action Plans</w:t>
            </w:r>
          </w:p>
        </w:tc>
        <w:tc>
          <w:tcPr>
            <w:tcW w:w="4111" w:type="dxa"/>
            <w:tcBorders>
              <w:top w:val="nil"/>
              <w:left w:val="nil"/>
              <w:bottom w:val="single" w:sz="8" w:space="0" w:color="auto"/>
              <w:right w:val="single" w:sz="4" w:space="0" w:color="auto"/>
            </w:tcBorders>
            <w:shd w:val="clear" w:color="auto" w:fill="auto"/>
            <w:vAlign w:val="center"/>
            <w:hideMark/>
          </w:tcPr>
          <w:p w14:paraId="59EEB19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Reviewing and prioritizing adaptation projects with high funding potential; Establishing FWG action plan for securing financing; Assigning tasks to FWG members to pursue funding leads; Developing a funding application tracking system; Engaging stakeholders for project co-financing and partnerships.</w:t>
            </w:r>
          </w:p>
        </w:tc>
        <w:tc>
          <w:tcPr>
            <w:tcW w:w="1276" w:type="dxa"/>
            <w:tcBorders>
              <w:top w:val="nil"/>
              <w:left w:val="nil"/>
              <w:bottom w:val="single" w:sz="8" w:space="0" w:color="auto"/>
              <w:right w:val="single" w:sz="4" w:space="0" w:color="auto"/>
            </w:tcBorders>
            <w:shd w:val="clear" w:color="auto" w:fill="auto"/>
            <w:vAlign w:val="center"/>
            <w:hideMark/>
          </w:tcPr>
          <w:p w14:paraId="3520D05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30 participants (12 women, 18 men)</w:t>
            </w:r>
          </w:p>
        </w:tc>
        <w:tc>
          <w:tcPr>
            <w:tcW w:w="1244" w:type="dxa"/>
            <w:tcBorders>
              <w:top w:val="nil"/>
              <w:left w:val="nil"/>
              <w:bottom w:val="single" w:sz="8" w:space="0" w:color="auto"/>
              <w:right w:val="single" w:sz="4" w:space="0" w:color="auto"/>
            </w:tcBorders>
            <w:shd w:val="clear" w:color="auto" w:fill="auto"/>
            <w:vAlign w:val="center"/>
            <w:hideMark/>
          </w:tcPr>
          <w:p w14:paraId="46E5808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1 day</w:t>
            </w:r>
          </w:p>
        </w:tc>
        <w:tc>
          <w:tcPr>
            <w:tcW w:w="1851" w:type="dxa"/>
            <w:tcBorders>
              <w:top w:val="nil"/>
              <w:left w:val="nil"/>
              <w:bottom w:val="single" w:sz="8" w:space="0" w:color="auto"/>
              <w:right w:val="single" w:sz="8" w:space="0" w:color="auto"/>
            </w:tcBorders>
            <w:shd w:val="clear" w:color="auto" w:fill="auto"/>
            <w:vAlign w:val="center"/>
            <w:hideMark/>
          </w:tcPr>
          <w:p w14:paraId="6D81B77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FWG members,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MoF, sectoral ministries, UN agencies, development partners, financial institutions.</w:t>
            </w:r>
          </w:p>
        </w:tc>
      </w:tr>
    </w:tbl>
    <w:p w14:paraId="3AFA6050" w14:textId="77777777" w:rsidR="00B96700" w:rsidRPr="00AC0422" w:rsidRDefault="00B96700" w:rsidP="00B96700">
      <w:pPr>
        <w:spacing w:after="120"/>
        <w:ind w:right="-28"/>
        <w:rPr>
          <w:rFonts w:asciiTheme="minorHAnsi" w:hAnsiTheme="minorHAnsi" w:cstheme="minorHAnsi"/>
          <w:szCs w:val="20"/>
          <w:lang w:val="en-GB" w:eastAsia="en-GB"/>
        </w:rPr>
      </w:pPr>
    </w:p>
    <w:p w14:paraId="324DA658"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3.4.3.1d: Produce a cross-sectoral funding strategy for the NAP process following the gap analysis undertaken under Activity 3.4.3.1b in collaboration with the FWG.</w:t>
      </w:r>
    </w:p>
    <w:p w14:paraId="67F34A2B" w14:textId="77777777" w:rsidR="00B96700" w:rsidRPr="00AC0422" w:rsidRDefault="00B96700" w:rsidP="00B96700">
      <w:pPr>
        <w:tabs>
          <w:tab w:val="num" w:pos="1440"/>
        </w:tabs>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project will develop a cross-sectoral funding strategy for the NAP process, outlining approaches to mobilize funding, including leveraging domestic resources, accessing international climate finance, and engaging private sector partners and ensuring alignment with sectoral adaptation plans and Yemen’s broader development goals.  It will address cross-sectoral priorities identified in the gap analysis. It will include clear timelines, roles, and responsibilities for implementing the strategy and addressing barriers to accessing international funds, such as capacity constraints and application complexities. It will also highlight co-financing opportunities to maximize resource mobilization.</w:t>
      </w:r>
    </w:p>
    <w:p w14:paraId="7B714968"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finalized strategy will be distributed to relevant ministries, donors, and stakeholders and a launch event organised to promote the strategy and secure buy-in. Communication materials will also be developed, summarizing the strategy for stakeholders.</w:t>
      </w:r>
    </w:p>
    <w:p w14:paraId="441A094D" w14:textId="77777777" w:rsidR="00B96700" w:rsidRPr="00AC0422" w:rsidRDefault="00B96700" w:rsidP="00B96700">
      <w:pPr>
        <w:spacing w:after="120"/>
        <w:ind w:right="-28"/>
        <w:rPr>
          <w:rFonts w:asciiTheme="minorHAnsi" w:hAnsiTheme="minorHAnsi" w:cstheme="minorHAnsi"/>
          <w:szCs w:val="20"/>
          <w:lang w:val="en-GB" w:eastAsia="en-GB"/>
        </w:rPr>
      </w:pPr>
    </w:p>
    <w:tbl>
      <w:tblPr>
        <w:tblW w:w="9167" w:type="dxa"/>
        <w:tblLook w:val="04A0" w:firstRow="1" w:lastRow="0" w:firstColumn="1" w:lastColumn="0" w:noHBand="0" w:noVBand="1"/>
      </w:tblPr>
      <w:tblGrid>
        <w:gridCol w:w="1999"/>
        <w:gridCol w:w="3677"/>
        <w:gridCol w:w="3491"/>
      </w:tblGrid>
      <w:tr w:rsidR="00B96700" w:rsidRPr="00AC0422" w14:paraId="1F057FA1" w14:textId="77777777" w:rsidTr="00391BF1">
        <w:trPr>
          <w:trHeight w:val="309"/>
        </w:trPr>
        <w:tc>
          <w:tcPr>
            <w:tcW w:w="1999" w:type="dxa"/>
            <w:tcBorders>
              <w:top w:val="single" w:sz="8" w:space="0" w:color="auto"/>
              <w:left w:val="single" w:sz="8" w:space="0" w:color="auto"/>
              <w:bottom w:val="nil"/>
              <w:right w:val="nil"/>
            </w:tcBorders>
            <w:shd w:val="clear" w:color="auto" w:fill="auto"/>
            <w:vAlign w:val="center"/>
            <w:hideMark/>
          </w:tcPr>
          <w:p w14:paraId="35E3A5D1"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Session Title</w:t>
            </w:r>
          </w:p>
        </w:tc>
        <w:tc>
          <w:tcPr>
            <w:tcW w:w="3677" w:type="dxa"/>
            <w:tcBorders>
              <w:top w:val="single" w:sz="8" w:space="0" w:color="auto"/>
              <w:left w:val="nil"/>
              <w:bottom w:val="nil"/>
              <w:right w:val="nil"/>
            </w:tcBorders>
            <w:shd w:val="clear" w:color="auto" w:fill="auto"/>
            <w:vAlign w:val="center"/>
            <w:hideMark/>
          </w:tcPr>
          <w:p w14:paraId="795D0A67"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Topics Covered</w:t>
            </w:r>
          </w:p>
        </w:tc>
        <w:tc>
          <w:tcPr>
            <w:tcW w:w="3491" w:type="dxa"/>
            <w:tcBorders>
              <w:top w:val="single" w:sz="8" w:space="0" w:color="auto"/>
              <w:left w:val="nil"/>
              <w:bottom w:val="nil"/>
              <w:right w:val="single" w:sz="8" w:space="0" w:color="auto"/>
            </w:tcBorders>
            <w:shd w:val="clear" w:color="auto" w:fill="auto"/>
            <w:vAlign w:val="center"/>
            <w:hideMark/>
          </w:tcPr>
          <w:p w14:paraId="01651C90"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Targeted Stakeholders</w:t>
            </w:r>
          </w:p>
        </w:tc>
      </w:tr>
      <w:tr w:rsidR="00B96700" w:rsidRPr="00AC0422" w14:paraId="2A1B8722" w14:textId="77777777" w:rsidTr="00391BF1">
        <w:trPr>
          <w:trHeight w:val="1385"/>
        </w:trPr>
        <w:tc>
          <w:tcPr>
            <w:tcW w:w="199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0FE09A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lastRenderedPageBreak/>
              <w:t>Opening Remarks and Presentation of the Cross-Sectoral Funding Strategy</w:t>
            </w:r>
          </w:p>
        </w:tc>
        <w:tc>
          <w:tcPr>
            <w:tcW w:w="3677" w:type="dxa"/>
            <w:tcBorders>
              <w:top w:val="single" w:sz="8" w:space="0" w:color="auto"/>
              <w:left w:val="nil"/>
              <w:bottom w:val="single" w:sz="4" w:space="0" w:color="auto"/>
              <w:right w:val="single" w:sz="4" w:space="0" w:color="auto"/>
            </w:tcBorders>
            <w:shd w:val="clear" w:color="auto" w:fill="auto"/>
            <w:vAlign w:val="center"/>
            <w:hideMark/>
          </w:tcPr>
          <w:p w14:paraId="1CC3FEB4"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Overview of Yemen’s climate adaptation financing needs; Summary of funding gaps identified under Activity 3.4.3.1b; Presentation of the Cross-Sectoral Funding Strategy, including key approaches and priority areas.</w:t>
            </w:r>
          </w:p>
        </w:tc>
        <w:tc>
          <w:tcPr>
            <w:tcW w:w="3491" w:type="dxa"/>
            <w:tcBorders>
              <w:top w:val="single" w:sz="8" w:space="0" w:color="auto"/>
              <w:left w:val="nil"/>
              <w:bottom w:val="single" w:sz="4" w:space="0" w:color="auto"/>
              <w:right w:val="single" w:sz="8" w:space="0" w:color="auto"/>
            </w:tcBorders>
            <w:shd w:val="clear" w:color="auto" w:fill="auto"/>
            <w:vAlign w:val="center"/>
            <w:hideMark/>
          </w:tcPr>
          <w:p w14:paraId="260F0AB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High-level government representatives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MoF, EPA, CAMA,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development partners, donors, private sector representatives, UN agencies.</w:t>
            </w:r>
          </w:p>
        </w:tc>
      </w:tr>
      <w:tr w:rsidR="00B96700" w:rsidRPr="00AC0422" w14:paraId="17AAA24C" w14:textId="77777777" w:rsidTr="00391BF1">
        <w:trPr>
          <w:trHeight w:val="1812"/>
        </w:trPr>
        <w:tc>
          <w:tcPr>
            <w:tcW w:w="1999" w:type="dxa"/>
            <w:tcBorders>
              <w:top w:val="nil"/>
              <w:left w:val="single" w:sz="8" w:space="0" w:color="auto"/>
              <w:bottom w:val="single" w:sz="4" w:space="0" w:color="auto"/>
              <w:right w:val="single" w:sz="4" w:space="0" w:color="auto"/>
            </w:tcBorders>
            <w:shd w:val="clear" w:color="auto" w:fill="auto"/>
            <w:vAlign w:val="center"/>
            <w:hideMark/>
          </w:tcPr>
          <w:p w14:paraId="7D1BE15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Panel Discussion: Challenges and Opportunities in Mobilizing Climate Finance for Yemen</w:t>
            </w:r>
          </w:p>
        </w:tc>
        <w:tc>
          <w:tcPr>
            <w:tcW w:w="3677" w:type="dxa"/>
            <w:tcBorders>
              <w:top w:val="nil"/>
              <w:left w:val="nil"/>
              <w:bottom w:val="single" w:sz="4" w:space="0" w:color="auto"/>
              <w:right w:val="single" w:sz="4" w:space="0" w:color="auto"/>
            </w:tcBorders>
            <w:shd w:val="clear" w:color="auto" w:fill="auto"/>
            <w:vAlign w:val="center"/>
            <w:hideMark/>
          </w:tcPr>
          <w:p w14:paraId="31A1328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Perspectives from government officials, international donors, private sector, and financial institutions; Key barriers to accessing climate finance and strategies to overcome them; Role of co-financing and innovative financing mechanisms.</w:t>
            </w:r>
          </w:p>
        </w:tc>
        <w:tc>
          <w:tcPr>
            <w:tcW w:w="3491" w:type="dxa"/>
            <w:tcBorders>
              <w:top w:val="nil"/>
              <w:left w:val="nil"/>
              <w:bottom w:val="single" w:sz="4" w:space="0" w:color="auto"/>
              <w:right w:val="single" w:sz="8" w:space="0" w:color="auto"/>
            </w:tcBorders>
            <w:shd w:val="clear" w:color="auto" w:fill="auto"/>
            <w:vAlign w:val="center"/>
            <w:hideMark/>
          </w:tcPr>
          <w:p w14:paraId="101BDAE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Government finance and planning agencies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MoF), international climate finance institutions (GCF, Adaptation Fund, UNDP, World Bank, IMF, regional development banks), private sector investors.</w:t>
            </w:r>
          </w:p>
        </w:tc>
      </w:tr>
      <w:tr w:rsidR="00B96700" w:rsidRPr="00AC0422" w14:paraId="606B7F1D" w14:textId="77777777" w:rsidTr="00391BF1">
        <w:trPr>
          <w:trHeight w:val="1724"/>
        </w:trPr>
        <w:tc>
          <w:tcPr>
            <w:tcW w:w="1999" w:type="dxa"/>
            <w:tcBorders>
              <w:top w:val="nil"/>
              <w:left w:val="single" w:sz="8" w:space="0" w:color="auto"/>
              <w:bottom w:val="single" w:sz="4" w:space="0" w:color="auto"/>
              <w:right w:val="single" w:sz="4" w:space="0" w:color="auto"/>
            </w:tcBorders>
            <w:shd w:val="clear" w:color="auto" w:fill="auto"/>
            <w:vAlign w:val="center"/>
            <w:hideMark/>
          </w:tcPr>
          <w:p w14:paraId="0820FC2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Breakout Sessions: Aligning the Funding Strategy with Sectoral Priorities</w:t>
            </w:r>
          </w:p>
        </w:tc>
        <w:tc>
          <w:tcPr>
            <w:tcW w:w="3677" w:type="dxa"/>
            <w:tcBorders>
              <w:top w:val="nil"/>
              <w:left w:val="nil"/>
              <w:bottom w:val="single" w:sz="4" w:space="0" w:color="auto"/>
              <w:right w:val="single" w:sz="4" w:space="0" w:color="auto"/>
            </w:tcBorders>
            <w:shd w:val="clear" w:color="auto" w:fill="auto"/>
            <w:vAlign w:val="center"/>
            <w:hideMark/>
          </w:tcPr>
          <w:p w14:paraId="7477178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Sectoral adaptation financing needs (Water, Agriculture, Health, Coastal Zones); Identifying priority funding sources for each sector; Developing action plans to implement the strategy within ministries and organizations.</w:t>
            </w:r>
          </w:p>
        </w:tc>
        <w:tc>
          <w:tcPr>
            <w:tcW w:w="3491" w:type="dxa"/>
            <w:tcBorders>
              <w:top w:val="nil"/>
              <w:left w:val="nil"/>
              <w:bottom w:val="single" w:sz="4" w:space="0" w:color="auto"/>
              <w:right w:val="single" w:sz="8" w:space="0" w:color="auto"/>
            </w:tcBorders>
            <w:shd w:val="clear" w:color="auto" w:fill="auto"/>
            <w:vAlign w:val="center"/>
            <w:hideMark/>
          </w:tcPr>
          <w:p w14:paraId="17CE4CF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Sectoral ministries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CAMA, EPA), local government authorities, NGOs, research institutions.</w:t>
            </w:r>
          </w:p>
        </w:tc>
      </w:tr>
      <w:tr w:rsidR="00B96700" w:rsidRPr="00AC0422" w14:paraId="2BBA8E33" w14:textId="77777777" w:rsidTr="00391BF1">
        <w:trPr>
          <w:trHeight w:val="1385"/>
        </w:trPr>
        <w:tc>
          <w:tcPr>
            <w:tcW w:w="1999" w:type="dxa"/>
            <w:tcBorders>
              <w:top w:val="nil"/>
              <w:left w:val="single" w:sz="8" w:space="0" w:color="auto"/>
              <w:bottom w:val="single" w:sz="8" w:space="0" w:color="auto"/>
              <w:right w:val="single" w:sz="4" w:space="0" w:color="auto"/>
            </w:tcBorders>
            <w:shd w:val="clear" w:color="auto" w:fill="auto"/>
            <w:vAlign w:val="center"/>
            <w:hideMark/>
          </w:tcPr>
          <w:p w14:paraId="16F85E2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Commitments and Next Steps: Partner Engagement for Implementation</w:t>
            </w:r>
          </w:p>
        </w:tc>
        <w:tc>
          <w:tcPr>
            <w:tcW w:w="3677" w:type="dxa"/>
            <w:tcBorders>
              <w:top w:val="nil"/>
              <w:left w:val="nil"/>
              <w:bottom w:val="single" w:sz="8" w:space="0" w:color="auto"/>
              <w:right w:val="single" w:sz="4" w:space="0" w:color="auto"/>
            </w:tcBorders>
            <w:shd w:val="clear" w:color="auto" w:fill="auto"/>
            <w:vAlign w:val="center"/>
            <w:hideMark/>
          </w:tcPr>
          <w:p w14:paraId="5140666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Securing government and donor commitments for financing adaptation; Establishing monitoring mechanisms for funding mobilization; Final remarks and call to action for all stakeholders.</w:t>
            </w:r>
          </w:p>
        </w:tc>
        <w:tc>
          <w:tcPr>
            <w:tcW w:w="3491" w:type="dxa"/>
            <w:tcBorders>
              <w:top w:val="nil"/>
              <w:left w:val="nil"/>
              <w:bottom w:val="single" w:sz="8" w:space="0" w:color="auto"/>
              <w:right w:val="single" w:sz="8" w:space="0" w:color="auto"/>
            </w:tcBorders>
            <w:shd w:val="clear" w:color="auto" w:fill="auto"/>
            <w:vAlign w:val="center"/>
            <w:hideMark/>
          </w:tcPr>
          <w:p w14:paraId="2EA5DA7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Government officials, donors, private sector representatives, CSOs, UN agencies, adaptation finance experts.</w:t>
            </w:r>
          </w:p>
        </w:tc>
      </w:tr>
    </w:tbl>
    <w:p w14:paraId="2EEE103F" w14:textId="77777777" w:rsidR="00B96700" w:rsidRPr="00AC0422" w:rsidRDefault="00B96700" w:rsidP="00B96700">
      <w:pPr>
        <w:spacing w:after="120"/>
        <w:ind w:right="-28"/>
        <w:rPr>
          <w:rFonts w:asciiTheme="minorHAnsi" w:hAnsiTheme="minorHAnsi" w:cstheme="minorHAnsi"/>
          <w:szCs w:val="20"/>
          <w:lang w:val="fr-FR" w:eastAsia="en-GB"/>
        </w:rPr>
      </w:pPr>
    </w:p>
    <w:p w14:paraId="7DF212EE" w14:textId="77777777" w:rsidR="00B96700" w:rsidRPr="00AC0422" w:rsidRDefault="00B96700" w:rsidP="00B96700">
      <w:pPr>
        <w:spacing w:after="120"/>
        <w:ind w:right="-28"/>
        <w:rPr>
          <w:rFonts w:asciiTheme="minorHAnsi" w:hAnsiTheme="minorHAnsi" w:cstheme="minorHAnsi"/>
          <w:szCs w:val="20"/>
          <w:lang w:val="en-GB" w:eastAsia="en-GB"/>
        </w:rPr>
      </w:pPr>
      <w:r w:rsidRPr="00AC0422">
        <w:rPr>
          <w:rFonts w:asciiTheme="minorHAnsi" w:hAnsiTheme="minorHAnsi" w:cstheme="minorHAnsi"/>
          <w:szCs w:val="20"/>
          <w:lang w:val="en-GB" w:eastAsia="en-GB"/>
        </w:rPr>
        <w:t>The launch event will raise awareness of the Cross-Sectoral Funding Strategy, fostering stakeholder engagement and investment in Yemen’s adaptation finance. It will help identify co-financing opportunities, align sectoral plans with funding priorities, and secure commitments from government and development partners. This milestone will strengthen coordination and resource mobilization for climate resilience.</w:t>
      </w:r>
    </w:p>
    <w:p w14:paraId="4ACD30B1" w14:textId="77777777" w:rsidR="00B96700" w:rsidRPr="00AC0422" w:rsidRDefault="00B96700" w:rsidP="00B96700">
      <w:pPr>
        <w:spacing w:after="120"/>
        <w:ind w:right="-28"/>
        <w:rPr>
          <w:rFonts w:asciiTheme="minorHAnsi" w:hAnsiTheme="minorHAnsi" w:cstheme="minorHAnsi"/>
          <w:i/>
          <w:iCs/>
          <w:szCs w:val="20"/>
          <w:u w:val="single"/>
          <w:lang w:val="en-GB" w:eastAsia="en-GB"/>
        </w:rPr>
      </w:pPr>
      <w:r w:rsidRPr="00AC0422">
        <w:rPr>
          <w:rFonts w:asciiTheme="minorHAnsi" w:hAnsiTheme="minorHAnsi" w:cstheme="minorHAnsi"/>
          <w:i/>
          <w:iCs/>
          <w:szCs w:val="20"/>
          <w:u w:val="single"/>
          <w:lang w:val="en-GB" w:eastAsia="en-GB"/>
        </w:rPr>
        <w:t>Activity 3.4.3.1e: Develop Recommendations for Mainstreaming Sectoral Adaptation Plans into Ministry Budgets</w:t>
      </w:r>
    </w:p>
    <w:p w14:paraId="3CD1D649"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The project will analyze sectoral budgets and adaptation needs by reviewing budgets and planning documents for the Ministries of Water and Environment, Agriculture and Irrigation, and Health and Population. It will identify opportunities to align sectoral adaptation plans with budgetary processes and develop ministry-specific recommendations to integrate adaptation measures into annual planning and financial frameworks.</w:t>
      </w:r>
    </w:p>
    <w:p w14:paraId="59167C25"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Recommendations will address challenges such as limited fiscal space, capacity gaps, and competing priorities, ensuring they are practical, context-specific, and prioritize actions with cross-sectoral co-benefits. Draft recommendations will be refined based on feedback from the FWG and ministries. Training and tools will be provided to operationalize the recommendations, with progress monitored and areas for additional support identified.</w:t>
      </w:r>
    </w:p>
    <w:p w14:paraId="4EA5782C" w14:textId="77777777" w:rsidR="00B96700" w:rsidRPr="00AC0422" w:rsidRDefault="00B96700" w:rsidP="00B96700">
      <w:pPr>
        <w:pStyle w:val="NormalWeb"/>
        <w:rPr>
          <w:rFonts w:asciiTheme="minorHAnsi" w:hAnsiTheme="minorHAnsi" w:cstheme="minorHAnsi"/>
          <w:sz w:val="20"/>
          <w:szCs w:val="20"/>
        </w:rPr>
      </w:pPr>
      <w:r w:rsidRPr="00AC0422">
        <w:rPr>
          <w:rFonts w:asciiTheme="minorHAnsi" w:hAnsiTheme="minorHAnsi" w:cstheme="minorHAnsi"/>
          <w:sz w:val="20"/>
          <w:szCs w:val="20"/>
        </w:rPr>
        <w:t>The project will develop tools to help ministries integrate sectoral adaptation plans into budgeting, ensuring alignment with financial planning. These include sector-specific budgeting guidelines, climate-responsive templates, investment prioritization tools, an adaptation finance tracker, a PPP toolkit, and a coordination framework. Four training workshops will equip 35 government officials (14 women, 21 men) with practical skills to institutionalize climate-responsive budgeting.</w:t>
      </w:r>
    </w:p>
    <w:tbl>
      <w:tblPr>
        <w:tblW w:w="9100" w:type="dxa"/>
        <w:tblLook w:val="04A0" w:firstRow="1" w:lastRow="0" w:firstColumn="1" w:lastColumn="0" w:noHBand="0" w:noVBand="1"/>
      </w:tblPr>
      <w:tblGrid>
        <w:gridCol w:w="2268"/>
        <w:gridCol w:w="3334"/>
        <w:gridCol w:w="1603"/>
        <w:gridCol w:w="1895"/>
      </w:tblGrid>
      <w:tr w:rsidR="00B96700" w:rsidRPr="00AC0422" w14:paraId="7766C00D" w14:textId="77777777" w:rsidTr="00391BF1">
        <w:trPr>
          <w:trHeight w:val="282"/>
        </w:trPr>
        <w:tc>
          <w:tcPr>
            <w:tcW w:w="2268"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D001CEE"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lastRenderedPageBreak/>
              <w:t>Training Session Title</w:t>
            </w:r>
          </w:p>
        </w:tc>
        <w:tc>
          <w:tcPr>
            <w:tcW w:w="3334" w:type="dxa"/>
            <w:tcBorders>
              <w:top w:val="single" w:sz="8" w:space="0" w:color="auto"/>
              <w:left w:val="nil"/>
              <w:bottom w:val="single" w:sz="4" w:space="0" w:color="auto"/>
              <w:right w:val="single" w:sz="4" w:space="0" w:color="auto"/>
            </w:tcBorders>
            <w:shd w:val="clear" w:color="auto" w:fill="auto"/>
            <w:vAlign w:val="center"/>
            <w:hideMark/>
          </w:tcPr>
          <w:p w14:paraId="4862B459"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Topics Covered</w:t>
            </w:r>
          </w:p>
        </w:tc>
        <w:tc>
          <w:tcPr>
            <w:tcW w:w="1603" w:type="dxa"/>
            <w:tcBorders>
              <w:top w:val="single" w:sz="8" w:space="0" w:color="auto"/>
              <w:left w:val="nil"/>
              <w:bottom w:val="single" w:sz="4" w:space="0" w:color="auto"/>
              <w:right w:val="single" w:sz="4" w:space="0" w:color="auto"/>
            </w:tcBorders>
            <w:shd w:val="clear" w:color="auto" w:fill="auto"/>
            <w:vAlign w:val="center"/>
            <w:hideMark/>
          </w:tcPr>
          <w:p w14:paraId="0DAD84AA"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Length/Duration</w:t>
            </w:r>
          </w:p>
        </w:tc>
        <w:tc>
          <w:tcPr>
            <w:tcW w:w="1895" w:type="dxa"/>
            <w:tcBorders>
              <w:top w:val="single" w:sz="8" w:space="0" w:color="auto"/>
              <w:left w:val="nil"/>
              <w:bottom w:val="single" w:sz="4" w:space="0" w:color="auto"/>
              <w:right w:val="single" w:sz="8" w:space="0" w:color="auto"/>
            </w:tcBorders>
            <w:shd w:val="clear" w:color="auto" w:fill="auto"/>
            <w:vAlign w:val="center"/>
            <w:hideMark/>
          </w:tcPr>
          <w:p w14:paraId="54C7286D" w14:textId="77777777" w:rsidR="00B96700" w:rsidRPr="00AC0422" w:rsidRDefault="00B96700" w:rsidP="00391BF1">
            <w:pPr>
              <w:jc w:val="center"/>
              <w:rPr>
                <w:rFonts w:asciiTheme="minorHAnsi" w:hAnsiTheme="minorHAnsi" w:cstheme="minorHAnsi"/>
                <w:b/>
                <w:bCs/>
                <w:color w:val="000000"/>
                <w:szCs w:val="20"/>
              </w:rPr>
            </w:pPr>
            <w:r w:rsidRPr="00AC0422">
              <w:rPr>
                <w:rFonts w:asciiTheme="minorHAnsi" w:hAnsiTheme="minorHAnsi" w:cstheme="minorHAnsi"/>
                <w:b/>
                <w:bCs/>
                <w:color w:val="000000"/>
                <w:szCs w:val="20"/>
              </w:rPr>
              <w:t>Targeted Stakeholders</w:t>
            </w:r>
          </w:p>
        </w:tc>
      </w:tr>
      <w:tr w:rsidR="00B96700" w:rsidRPr="00AC0422" w14:paraId="7D867199" w14:textId="77777777" w:rsidTr="00391BF1">
        <w:trPr>
          <w:trHeight w:val="1129"/>
        </w:trPr>
        <w:tc>
          <w:tcPr>
            <w:tcW w:w="2268" w:type="dxa"/>
            <w:tcBorders>
              <w:top w:val="nil"/>
              <w:left w:val="single" w:sz="8" w:space="0" w:color="auto"/>
              <w:bottom w:val="single" w:sz="4" w:space="0" w:color="auto"/>
              <w:right w:val="single" w:sz="4" w:space="0" w:color="auto"/>
            </w:tcBorders>
            <w:shd w:val="clear" w:color="auto" w:fill="auto"/>
            <w:vAlign w:val="center"/>
            <w:hideMark/>
          </w:tcPr>
          <w:p w14:paraId="3BE2A67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Integrating Adaptation into Budget Planning and Public Financial Management (PFM)</w:t>
            </w:r>
          </w:p>
        </w:tc>
        <w:tc>
          <w:tcPr>
            <w:tcW w:w="3334" w:type="dxa"/>
            <w:tcBorders>
              <w:top w:val="nil"/>
              <w:left w:val="nil"/>
              <w:bottom w:val="single" w:sz="4" w:space="0" w:color="auto"/>
              <w:right w:val="single" w:sz="4" w:space="0" w:color="auto"/>
            </w:tcBorders>
            <w:shd w:val="clear" w:color="auto" w:fill="auto"/>
            <w:vAlign w:val="center"/>
            <w:hideMark/>
          </w:tcPr>
          <w:p w14:paraId="0119D55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Overview of national budgeting cycles and opportunities for mainstreaming adaptation; Challenges in financing adaptation in Yemen; Adaptation mainstreaming strategies for the water, agriculture, coastal zones, and health sectors.</w:t>
            </w:r>
          </w:p>
        </w:tc>
        <w:tc>
          <w:tcPr>
            <w:tcW w:w="1603" w:type="dxa"/>
            <w:tcBorders>
              <w:top w:val="nil"/>
              <w:left w:val="nil"/>
              <w:bottom w:val="single" w:sz="4" w:space="0" w:color="auto"/>
              <w:right w:val="single" w:sz="4" w:space="0" w:color="auto"/>
            </w:tcBorders>
            <w:shd w:val="clear" w:color="auto" w:fill="auto"/>
            <w:vAlign w:val="center"/>
            <w:hideMark/>
          </w:tcPr>
          <w:p w14:paraId="571937FA"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1895" w:type="dxa"/>
            <w:tcBorders>
              <w:top w:val="nil"/>
              <w:left w:val="nil"/>
              <w:bottom w:val="single" w:sz="4" w:space="0" w:color="auto"/>
              <w:right w:val="single" w:sz="8" w:space="0" w:color="auto"/>
            </w:tcBorders>
            <w:shd w:val="clear" w:color="auto" w:fill="auto"/>
            <w:vAlign w:val="center"/>
            <w:hideMark/>
          </w:tcPr>
          <w:p w14:paraId="7D854A75"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MoF,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EPA, local government finance representatives.</w:t>
            </w:r>
          </w:p>
        </w:tc>
      </w:tr>
      <w:tr w:rsidR="00B96700" w:rsidRPr="00AC0422" w14:paraId="53DCDD89" w14:textId="77777777" w:rsidTr="00391BF1">
        <w:trPr>
          <w:trHeight w:val="1411"/>
        </w:trPr>
        <w:tc>
          <w:tcPr>
            <w:tcW w:w="2268" w:type="dxa"/>
            <w:tcBorders>
              <w:top w:val="nil"/>
              <w:left w:val="single" w:sz="8" w:space="0" w:color="auto"/>
              <w:bottom w:val="single" w:sz="4" w:space="0" w:color="auto"/>
              <w:right w:val="single" w:sz="4" w:space="0" w:color="auto"/>
            </w:tcBorders>
            <w:shd w:val="clear" w:color="auto" w:fill="auto"/>
            <w:vAlign w:val="center"/>
            <w:hideMark/>
          </w:tcPr>
          <w:p w14:paraId="29C0E79B"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Climate-Responsive Budgeting Tools and Expenditure Tracking</w:t>
            </w:r>
          </w:p>
        </w:tc>
        <w:tc>
          <w:tcPr>
            <w:tcW w:w="3334" w:type="dxa"/>
            <w:tcBorders>
              <w:top w:val="nil"/>
              <w:left w:val="nil"/>
              <w:bottom w:val="single" w:sz="4" w:space="0" w:color="auto"/>
              <w:right w:val="single" w:sz="4" w:space="0" w:color="auto"/>
            </w:tcBorders>
            <w:shd w:val="clear" w:color="auto" w:fill="auto"/>
            <w:vAlign w:val="center"/>
            <w:hideMark/>
          </w:tcPr>
          <w:p w14:paraId="6881E3DF"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Introduction to adaptation finance tracking; Budget classification for adaptation-related expenditures; Use of climate-responsive budgeting templates and sector-specific guidelines.</w:t>
            </w:r>
          </w:p>
        </w:tc>
        <w:tc>
          <w:tcPr>
            <w:tcW w:w="1603" w:type="dxa"/>
            <w:tcBorders>
              <w:top w:val="nil"/>
              <w:left w:val="nil"/>
              <w:bottom w:val="single" w:sz="4" w:space="0" w:color="auto"/>
              <w:right w:val="single" w:sz="4" w:space="0" w:color="auto"/>
            </w:tcBorders>
            <w:shd w:val="clear" w:color="auto" w:fill="auto"/>
            <w:vAlign w:val="center"/>
            <w:hideMark/>
          </w:tcPr>
          <w:p w14:paraId="5A0FD58D"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1895" w:type="dxa"/>
            <w:tcBorders>
              <w:top w:val="nil"/>
              <w:left w:val="nil"/>
              <w:bottom w:val="single" w:sz="4" w:space="0" w:color="auto"/>
              <w:right w:val="single" w:sz="8" w:space="0" w:color="auto"/>
            </w:tcBorders>
            <w:shd w:val="clear" w:color="auto" w:fill="auto"/>
            <w:vAlign w:val="center"/>
            <w:hideMark/>
          </w:tcPr>
          <w:p w14:paraId="2C805F8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MoF,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sectoral ministries (Water, Agriculture, Health), CSOs, local government finance officials.</w:t>
            </w:r>
          </w:p>
        </w:tc>
      </w:tr>
      <w:tr w:rsidR="00B96700" w:rsidRPr="00AC0422" w14:paraId="01338CEB" w14:textId="77777777" w:rsidTr="00391BF1">
        <w:trPr>
          <w:trHeight w:val="1129"/>
        </w:trPr>
        <w:tc>
          <w:tcPr>
            <w:tcW w:w="2268" w:type="dxa"/>
            <w:tcBorders>
              <w:top w:val="nil"/>
              <w:left w:val="single" w:sz="8" w:space="0" w:color="auto"/>
              <w:bottom w:val="single" w:sz="4" w:space="0" w:color="auto"/>
              <w:right w:val="single" w:sz="4" w:space="0" w:color="auto"/>
            </w:tcBorders>
            <w:shd w:val="clear" w:color="auto" w:fill="auto"/>
            <w:vAlign w:val="center"/>
            <w:hideMark/>
          </w:tcPr>
          <w:p w14:paraId="5B2BAC68"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Prioritizing Adaptation Investments and Cost-Benefit Analysis (CBA) for Budgeting</w:t>
            </w:r>
          </w:p>
        </w:tc>
        <w:tc>
          <w:tcPr>
            <w:tcW w:w="3334" w:type="dxa"/>
            <w:tcBorders>
              <w:top w:val="nil"/>
              <w:left w:val="nil"/>
              <w:bottom w:val="single" w:sz="4" w:space="0" w:color="auto"/>
              <w:right w:val="single" w:sz="4" w:space="0" w:color="auto"/>
            </w:tcBorders>
            <w:shd w:val="clear" w:color="auto" w:fill="auto"/>
            <w:vAlign w:val="center"/>
            <w:hideMark/>
          </w:tcPr>
          <w:p w14:paraId="3581F13E"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Application of cost-benefit analysis (CBA) and multi-criteria decision analysis (MCDA) for adaptation investments; Sectoral investment prioritization methodologies; Case studies on adaptation budgeting best practices.</w:t>
            </w:r>
          </w:p>
        </w:tc>
        <w:tc>
          <w:tcPr>
            <w:tcW w:w="1603" w:type="dxa"/>
            <w:tcBorders>
              <w:top w:val="nil"/>
              <w:left w:val="nil"/>
              <w:bottom w:val="single" w:sz="4" w:space="0" w:color="auto"/>
              <w:right w:val="single" w:sz="4" w:space="0" w:color="auto"/>
            </w:tcBorders>
            <w:shd w:val="clear" w:color="auto" w:fill="auto"/>
            <w:vAlign w:val="center"/>
            <w:hideMark/>
          </w:tcPr>
          <w:p w14:paraId="55109ABC"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3 days</w:t>
            </w:r>
          </w:p>
        </w:tc>
        <w:tc>
          <w:tcPr>
            <w:tcW w:w="1895" w:type="dxa"/>
            <w:tcBorders>
              <w:top w:val="nil"/>
              <w:left w:val="nil"/>
              <w:bottom w:val="single" w:sz="4" w:space="0" w:color="auto"/>
              <w:right w:val="single" w:sz="8" w:space="0" w:color="auto"/>
            </w:tcBorders>
            <w:shd w:val="clear" w:color="auto" w:fill="auto"/>
            <w:vAlign w:val="center"/>
            <w:hideMark/>
          </w:tcPr>
          <w:p w14:paraId="790CF583"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MoF,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MoWE</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MoAI</w:t>
            </w:r>
            <w:proofErr w:type="spellEnd"/>
            <w:r w:rsidRPr="00AC0422">
              <w:rPr>
                <w:rFonts w:asciiTheme="minorHAnsi" w:hAnsiTheme="minorHAnsi" w:cstheme="minorHAnsi"/>
                <w:color w:val="000000"/>
                <w:szCs w:val="20"/>
              </w:rPr>
              <w:t xml:space="preserve">, </w:t>
            </w:r>
            <w:proofErr w:type="spellStart"/>
            <w:r w:rsidRPr="00AC0422">
              <w:rPr>
                <w:rFonts w:asciiTheme="minorHAnsi" w:hAnsiTheme="minorHAnsi" w:cstheme="minorHAnsi"/>
                <w:color w:val="000000"/>
                <w:szCs w:val="20"/>
              </w:rPr>
              <w:t>MoHP</w:t>
            </w:r>
            <w:proofErr w:type="spellEnd"/>
            <w:r w:rsidRPr="00AC0422">
              <w:rPr>
                <w:rFonts w:asciiTheme="minorHAnsi" w:hAnsiTheme="minorHAnsi" w:cstheme="minorHAnsi"/>
                <w:color w:val="000000"/>
                <w:szCs w:val="20"/>
              </w:rPr>
              <w:t>, FWG members, adaptation finance experts.</w:t>
            </w:r>
          </w:p>
        </w:tc>
      </w:tr>
      <w:tr w:rsidR="00B96700" w:rsidRPr="00AC0422" w14:paraId="27E5C3D8" w14:textId="77777777" w:rsidTr="00391BF1">
        <w:trPr>
          <w:trHeight w:val="1143"/>
        </w:trPr>
        <w:tc>
          <w:tcPr>
            <w:tcW w:w="2268" w:type="dxa"/>
            <w:tcBorders>
              <w:top w:val="nil"/>
              <w:left w:val="single" w:sz="8" w:space="0" w:color="auto"/>
              <w:bottom w:val="single" w:sz="8" w:space="0" w:color="auto"/>
              <w:right w:val="single" w:sz="4" w:space="0" w:color="auto"/>
            </w:tcBorders>
            <w:shd w:val="clear" w:color="auto" w:fill="auto"/>
            <w:vAlign w:val="center"/>
            <w:hideMark/>
          </w:tcPr>
          <w:p w14:paraId="31B1BD42"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Exploring Innovative Financing Mechanisms for Adaptation (PPPs, Co-Financing, Blended Finance)</w:t>
            </w:r>
          </w:p>
        </w:tc>
        <w:tc>
          <w:tcPr>
            <w:tcW w:w="3334" w:type="dxa"/>
            <w:tcBorders>
              <w:top w:val="nil"/>
              <w:left w:val="nil"/>
              <w:bottom w:val="single" w:sz="8" w:space="0" w:color="auto"/>
              <w:right w:val="single" w:sz="4" w:space="0" w:color="auto"/>
            </w:tcBorders>
            <w:shd w:val="clear" w:color="auto" w:fill="auto"/>
            <w:vAlign w:val="center"/>
            <w:hideMark/>
          </w:tcPr>
          <w:p w14:paraId="0AB65510"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Introduction to adaptation financing mechanisms beyond government budgets; Public-private partnerships (PPPs) for adaptation; Co-financing models and leveraging international climate finance.</w:t>
            </w:r>
          </w:p>
        </w:tc>
        <w:tc>
          <w:tcPr>
            <w:tcW w:w="1603" w:type="dxa"/>
            <w:tcBorders>
              <w:top w:val="nil"/>
              <w:left w:val="nil"/>
              <w:bottom w:val="single" w:sz="8" w:space="0" w:color="auto"/>
              <w:right w:val="single" w:sz="4" w:space="0" w:color="auto"/>
            </w:tcBorders>
            <w:shd w:val="clear" w:color="auto" w:fill="auto"/>
            <w:vAlign w:val="center"/>
            <w:hideMark/>
          </w:tcPr>
          <w:p w14:paraId="0FE9FBC1"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2 days</w:t>
            </w:r>
          </w:p>
        </w:tc>
        <w:tc>
          <w:tcPr>
            <w:tcW w:w="1895" w:type="dxa"/>
            <w:tcBorders>
              <w:top w:val="nil"/>
              <w:left w:val="nil"/>
              <w:bottom w:val="single" w:sz="8" w:space="0" w:color="auto"/>
              <w:right w:val="single" w:sz="8" w:space="0" w:color="auto"/>
            </w:tcBorders>
            <w:shd w:val="clear" w:color="auto" w:fill="auto"/>
            <w:vAlign w:val="center"/>
            <w:hideMark/>
          </w:tcPr>
          <w:p w14:paraId="1E6BC809" w14:textId="77777777" w:rsidR="00B96700" w:rsidRPr="00AC0422" w:rsidRDefault="00B96700" w:rsidP="00391BF1">
            <w:pPr>
              <w:rPr>
                <w:rFonts w:asciiTheme="minorHAnsi" w:hAnsiTheme="minorHAnsi" w:cstheme="minorHAnsi"/>
                <w:color w:val="000000"/>
                <w:szCs w:val="20"/>
              </w:rPr>
            </w:pPr>
            <w:r w:rsidRPr="00AC0422">
              <w:rPr>
                <w:rFonts w:asciiTheme="minorHAnsi" w:hAnsiTheme="minorHAnsi" w:cstheme="minorHAnsi"/>
                <w:color w:val="000000"/>
                <w:szCs w:val="20"/>
              </w:rPr>
              <w:t xml:space="preserve">MoF, </w:t>
            </w:r>
            <w:proofErr w:type="spellStart"/>
            <w:r w:rsidRPr="00AC0422">
              <w:rPr>
                <w:rFonts w:asciiTheme="minorHAnsi" w:hAnsiTheme="minorHAnsi" w:cstheme="minorHAnsi"/>
                <w:color w:val="000000"/>
                <w:szCs w:val="20"/>
              </w:rPr>
              <w:t>MoPIC</w:t>
            </w:r>
            <w:proofErr w:type="spellEnd"/>
            <w:r w:rsidRPr="00AC0422">
              <w:rPr>
                <w:rFonts w:asciiTheme="minorHAnsi" w:hAnsiTheme="minorHAnsi" w:cstheme="minorHAnsi"/>
                <w:color w:val="000000"/>
                <w:szCs w:val="20"/>
              </w:rPr>
              <w:t>, private sector investors, international financial institutions, development banks.</w:t>
            </w:r>
          </w:p>
        </w:tc>
      </w:tr>
    </w:tbl>
    <w:p w14:paraId="6F79DD3F" w14:textId="77777777" w:rsidR="00B96700" w:rsidRPr="00AC0422" w:rsidRDefault="00B96700" w:rsidP="004C0749">
      <w:pPr>
        <w:spacing w:after="0"/>
        <w:jc w:val="left"/>
        <w:rPr>
          <w:rFonts w:asciiTheme="minorHAnsi" w:hAnsiTheme="minorHAnsi" w:cstheme="minorHAnsi"/>
          <w:b/>
          <w:iCs/>
          <w:szCs w:val="20"/>
          <w:u w:val="single"/>
        </w:rPr>
      </w:pPr>
    </w:p>
    <w:p w14:paraId="2739C886" w14:textId="77777777" w:rsidR="00B96700" w:rsidRPr="00AC0422" w:rsidRDefault="00B96700" w:rsidP="004C0749">
      <w:pPr>
        <w:spacing w:after="0"/>
        <w:jc w:val="left"/>
        <w:rPr>
          <w:rFonts w:asciiTheme="minorHAnsi" w:hAnsiTheme="minorHAnsi" w:cstheme="minorHAnsi"/>
          <w:b/>
          <w:iCs/>
          <w:szCs w:val="20"/>
          <w:u w:val="single"/>
        </w:rPr>
      </w:pPr>
    </w:p>
    <w:p w14:paraId="16728299" w14:textId="67CA8CE6" w:rsidR="00E349BA" w:rsidRPr="00AC0422" w:rsidRDefault="00A91A62" w:rsidP="007767DC">
      <w:pPr>
        <w:spacing w:after="0"/>
        <w:rPr>
          <w:rFonts w:asciiTheme="minorHAnsi" w:hAnsiTheme="minorHAnsi" w:cstheme="minorHAnsi"/>
          <w:i/>
          <w:szCs w:val="20"/>
        </w:rPr>
      </w:pPr>
      <w:r w:rsidRPr="00AC0422">
        <w:rPr>
          <w:rFonts w:asciiTheme="minorHAnsi" w:hAnsiTheme="minorHAnsi" w:cstheme="minorHAnsi"/>
          <w:szCs w:val="20"/>
          <w:u w:val="single"/>
        </w:rPr>
        <w:t>P</w:t>
      </w:r>
      <w:r w:rsidR="00C644BD" w:rsidRPr="00AC0422">
        <w:rPr>
          <w:rFonts w:asciiTheme="minorHAnsi" w:hAnsiTheme="minorHAnsi" w:cstheme="minorHAnsi"/>
          <w:szCs w:val="20"/>
          <w:u w:val="single"/>
        </w:rPr>
        <w:t>artnerships</w:t>
      </w:r>
      <w:r w:rsidR="00C644BD" w:rsidRPr="00AC0422">
        <w:rPr>
          <w:rFonts w:asciiTheme="minorHAnsi" w:hAnsiTheme="minorHAnsi" w:cstheme="minorHAnsi"/>
          <w:szCs w:val="20"/>
        </w:rPr>
        <w:t>:</w:t>
      </w:r>
      <w:r w:rsidR="00C644BD" w:rsidRPr="00AC0422">
        <w:rPr>
          <w:rFonts w:asciiTheme="minorHAnsi" w:hAnsiTheme="minorHAnsi" w:cstheme="minorHAnsi"/>
          <w:i/>
          <w:szCs w:val="20"/>
        </w:rPr>
        <w:t xml:space="preserve">  </w:t>
      </w:r>
    </w:p>
    <w:p w14:paraId="7DC1A155" w14:textId="77777777" w:rsidR="000C0304" w:rsidRPr="00AC0422" w:rsidRDefault="000C0304" w:rsidP="007767DC">
      <w:pPr>
        <w:spacing w:after="0"/>
        <w:rPr>
          <w:rFonts w:asciiTheme="minorHAnsi" w:hAnsiTheme="minorHAnsi" w:cstheme="minorHAnsi"/>
          <w:i/>
          <w:szCs w:val="20"/>
        </w:rPr>
      </w:pPr>
    </w:p>
    <w:p w14:paraId="1F59E49E" w14:textId="1664DD9D" w:rsidR="000C0304" w:rsidRPr="00AC0422" w:rsidRDefault="000C0304" w:rsidP="000C0304">
      <w:pPr>
        <w:spacing w:after="0"/>
        <w:rPr>
          <w:rFonts w:asciiTheme="minorHAnsi" w:hAnsiTheme="minorHAnsi" w:cstheme="minorHAnsi"/>
          <w:iCs/>
          <w:szCs w:val="22"/>
        </w:rPr>
      </w:pPr>
      <w:r w:rsidRPr="00AC0422">
        <w:rPr>
          <w:rFonts w:asciiTheme="minorHAnsi" w:hAnsiTheme="minorHAnsi" w:cstheme="minorHAnsi"/>
          <w:iCs/>
          <w:szCs w:val="22"/>
        </w:rPr>
        <w:t xml:space="preserve">Establishing and leveraging effective, sustainable partnerships is a crucial element of the project, enhancing its impact across all sectors and involving various stakeholders. The proposed action will be based on broad stakeholder participation with respective communication and cooperation platforms and mechanisms in place. Actors for collaboration will include national and sub-national level state bodies, research organizations, including finance and technical experts, civil society organizations, private sector, vulnerable populations and gender groups. </w:t>
      </w:r>
    </w:p>
    <w:p w14:paraId="25E67D62" w14:textId="77777777" w:rsidR="000C0304" w:rsidRPr="00AC0422" w:rsidRDefault="000C0304" w:rsidP="000C0304">
      <w:pPr>
        <w:spacing w:after="0"/>
        <w:rPr>
          <w:rFonts w:asciiTheme="minorHAnsi" w:hAnsiTheme="minorHAnsi" w:cstheme="minorHAnsi"/>
          <w:iCs/>
          <w:szCs w:val="22"/>
        </w:rPr>
      </w:pPr>
    </w:p>
    <w:p w14:paraId="221E3440" w14:textId="0546C1B1" w:rsidR="000C0304" w:rsidRPr="00AC0422" w:rsidRDefault="000C0304" w:rsidP="000C0304">
      <w:pPr>
        <w:spacing w:after="0"/>
        <w:rPr>
          <w:rFonts w:asciiTheme="minorHAnsi" w:hAnsiTheme="minorHAnsi" w:cstheme="minorHAnsi"/>
          <w:iCs/>
          <w:szCs w:val="22"/>
        </w:rPr>
      </w:pPr>
      <w:r w:rsidRPr="00AC0422">
        <w:rPr>
          <w:rFonts w:asciiTheme="minorHAnsi" w:hAnsiTheme="minorHAnsi" w:cstheme="minorHAnsi"/>
          <w:iCs/>
          <w:szCs w:val="22"/>
        </w:rPr>
        <w:t>Furthermore, this project will align its efforts with ongoing international projects. Synergies will be harnessed in producing relevant climate data and information, facilitating knowledge management, and fostering dialogues on climate risks and vulnerabilities at both national and regional levels. The project will actively advocate for unified communication strategies in building climate resilience and explore opportunities for collaborative capacity development. Additionally, the project will tap into the potential for cross-sectoral and cross-border cooperation on adaptation.</w:t>
      </w:r>
    </w:p>
    <w:p w14:paraId="25918DA3" w14:textId="77777777" w:rsidR="000C0304" w:rsidRPr="00AC0422" w:rsidRDefault="000C0304" w:rsidP="000C0304">
      <w:pPr>
        <w:spacing w:after="0"/>
        <w:rPr>
          <w:rFonts w:asciiTheme="minorHAnsi" w:hAnsiTheme="minorHAnsi" w:cstheme="minorHAnsi"/>
          <w:iCs/>
          <w:szCs w:val="22"/>
        </w:rPr>
      </w:pPr>
    </w:p>
    <w:p w14:paraId="4208DA89" w14:textId="64A5CBD8" w:rsidR="004C0749" w:rsidRPr="00AC0422" w:rsidRDefault="00677513" w:rsidP="1B8C57D0">
      <w:pPr>
        <w:spacing w:before="240"/>
        <w:rPr>
          <w:rFonts w:asciiTheme="minorHAnsi" w:hAnsiTheme="minorHAnsi" w:cstheme="minorHAnsi"/>
        </w:rPr>
      </w:pPr>
      <w:r w:rsidRPr="00AC0422">
        <w:rPr>
          <w:rFonts w:asciiTheme="minorHAnsi" w:hAnsiTheme="minorHAnsi" w:cstheme="minorHAnsi"/>
          <w:u w:val="single"/>
        </w:rPr>
        <w:t>Risks</w:t>
      </w:r>
      <w:r w:rsidRPr="00AC0422">
        <w:rPr>
          <w:rFonts w:asciiTheme="minorHAnsi" w:hAnsiTheme="minorHAnsi" w:cstheme="minorHAnsi"/>
          <w:i/>
          <w:iCs/>
        </w:rPr>
        <w:t>:</w:t>
      </w:r>
      <w:r w:rsidRPr="00AC0422">
        <w:rPr>
          <w:rFonts w:asciiTheme="minorHAnsi" w:hAnsiTheme="minorHAnsi" w:cstheme="minorHAnsi"/>
          <w:b/>
          <w:bCs/>
          <w:i/>
          <w:iCs/>
        </w:rPr>
        <w:t xml:space="preserve"> </w:t>
      </w:r>
    </w:p>
    <w:p w14:paraId="131AE0CA" w14:textId="62950109" w:rsidR="00355628" w:rsidRPr="00AC0422" w:rsidRDefault="00355628" w:rsidP="1B8C57D0">
      <w:pPr>
        <w:spacing w:before="240"/>
        <w:rPr>
          <w:rFonts w:asciiTheme="minorHAnsi" w:hAnsiTheme="minorHAnsi" w:cstheme="minorHAnsi"/>
        </w:rPr>
      </w:pPr>
      <w:r w:rsidRPr="00AC0422">
        <w:rPr>
          <w:rFonts w:asciiTheme="minorHAnsi" w:hAnsiTheme="minorHAnsi" w:cstheme="minorHAnsi"/>
        </w:rPr>
        <w:t xml:space="preserve">Please refer to </w:t>
      </w:r>
      <w:r w:rsidR="000C0304" w:rsidRPr="00AC0422">
        <w:rPr>
          <w:rFonts w:asciiTheme="minorHAnsi" w:hAnsiTheme="minorHAnsi" w:cstheme="minorHAnsi"/>
          <w:highlight w:val="yellow"/>
        </w:rPr>
        <w:t>Annex</w:t>
      </w:r>
      <w:r w:rsidRPr="00AC0422">
        <w:rPr>
          <w:rFonts w:asciiTheme="minorHAnsi" w:hAnsiTheme="minorHAnsi" w:cstheme="minorHAnsi"/>
          <w:highlight w:val="yellow"/>
        </w:rPr>
        <w:t xml:space="preserve"> </w:t>
      </w:r>
      <w:r w:rsidR="000C0304" w:rsidRPr="00AC0422">
        <w:rPr>
          <w:rFonts w:asciiTheme="minorHAnsi" w:hAnsiTheme="minorHAnsi" w:cstheme="minorHAnsi"/>
          <w:highlight w:val="yellow"/>
        </w:rPr>
        <w:t>E</w:t>
      </w:r>
      <w:r w:rsidRPr="00AC0422">
        <w:rPr>
          <w:rFonts w:asciiTheme="minorHAnsi" w:hAnsiTheme="minorHAnsi" w:cstheme="minorHAnsi"/>
        </w:rPr>
        <w:t xml:space="preserve"> for a comprehensive overview of risk management, as detailed in the Risk Log. In accordance with standard UNDP protocols, the Project Manager will conduct quarterly monitoring of risks and report on their status to the UNDP Country Office. Progress will be documented in the UNDP Quantum risk log. Risks will be classified </w:t>
      </w:r>
      <w:r w:rsidRPr="00AC0422">
        <w:rPr>
          <w:rFonts w:asciiTheme="minorHAnsi" w:hAnsiTheme="minorHAnsi" w:cstheme="minorHAnsi"/>
        </w:rPr>
        <w:lastRenderedPageBreak/>
        <w:t>as critical when both impact and probability are deemed high. Management responses to critical risks will be incorporated into the Annual Project Reports. The project's overall risk categorization is estimated as low due to its exclusive focus on technical assistance for building the capacities of stakeholders, with no involvement in field activities.</w:t>
      </w:r>
    </w:p>
    <w:p w14:paraId="68B48106" w14:textId="77777777" w:rsidR="00677513" w:rsidRPr="00AC0422" w:rsidRDefault="00677513" w:rsidP="007767DC">
      <w:pPr>
        <w:spacing w:after="0"/>
        <w:rPr>
          <w:rFonts w:asciiTheme="minorHAnsi" w:hAnsiTheme="minorHAnsi" w:cstheme="minorHAnsi"/>
          <w:szCs w:val="20"/>
          <w:u w:val="single"/>
        </w:rPr>
      </w:pPr>
    </w:p>
    <w:p w14:paraId="4DBF6FCC" w14:textId="39775F10" w:rsidR="00E24112" w:rsidRPr="00AC0422" w:rsidRDefault="00EB69AE" w:rsidP="007767DC">
      <w:pPr>
        <w:spacing w:after="0"/>
        <w:rPr>
          <w:rFonts w:asciiTheme="minorHAnsi" w:hAnsiTheme="minorHAnsi" w:cstheme="minorHAnsi"/>
          <w:i/>
          <w:szCs w:val="20"/>
        </w:rPr>
      </w:pPr>
      <w:r w:rsidRPr="00AC0422">
        <w:rPr>
          <w:rFonts w:asciiTheme="minorHAnsi" w:hAnsiTheme="minorHAnsi" w:cstheme="minorHAnsi"/>
          <w:szCs w:val="20"/>
          <w:u w:val="single"/>
        </w:rPr>
        <w:t>Gender equality and Women’s Empowerment</w:t>
      </w:r>
      <w:r w:rsidRPr="00AC0422">
        <w:rPr>
          <w:rFonts w:asciiTheme="minorHAnsi" w:hAnsiTheme="minorHAnsi" w:cstheme="minorHAnsi"/>
          <w:szCs w:val="20"/>
        </w:rPr>
        <w:t xml:space="preserve">:  </w:t>
      </w:r>
    </w:p>
    <w:p w14:paraId="509C183B" w14:textId="77777777" w:rsidR="00355628" w:rsidRPr="00AC0422" w:rsidRDefault="00355628" w:rsidP="007767DC">
      <w:pPr>
        <w:spacing w:after="0"/>
        <w:rPr>
          <w:rFonts w:asciiTheme="minorHAnsi" w:hAnsiTheme="minorHAnsi" w:cstheme="minorHAnsi"/>
          <w:iCs/>
          <w:szCs w:val="20"/>
        </w:rPr>
      </w:pPr>
    </w:p>
    <w:p w14:paraId="0A280B76" w14:textId="77777777" w:rsidR="00753C3F" w:rsidRPr="00AC0422" w:rsidRDefault="00753C3F" w:rsidP="00753C3F">
      <w:pPr>
        <w:spacing w:after="0"/>
        <w:rPr>
          <w:rFonts w:asciiTheme="minorHAnsi" w:hAnsiTheme="minorHAnsi" w:cstheme="minorHAnsi"/>
          <w:iCs/>
          <w:szCs w:val="20"/>
        </w:rPr>
      </w:pPr>
      <w:r w:rsidRPr="00AC0422">
        <w:rPr>
          <w:rFonts w:asciiTheme="minorHAnsi" w:hAnsiTheme="minorHAnsi" w:cstheme="minorHAnsi"/>
          <w:iCs/>
          <w:szCs w:val="20"/>
        </w:rPr>
        <w:t xml:space="preserve">Yemen’s population is highly vulnerable to climate change, with women, children, the elderly, people with disabilities, marginalized ethnic groups, and displaced populations facing disproportionate risks due to deep-seated gender and social inequalities. The patriarchal societal structure, ongoing conflict, and economic collapse exacerbate these vulnerabilities. Women’s restricted access to resources like land, financial services, and technology limits their adaptive capacity. Socially excluded groups, such as the </w:t>
      </w:r>
      <w:proofErr w:type="spellStart"/>
      <w:r w:rsidRPr="00AC0422">
        <w:rPr>
          <w:rFonts w:asciiTheme="minorHAnsi" w:hAnsiTheme="minorHAnsi" w:cstheme="minorHAnsi"/>
          <w:iCs/>
          <w:szCs w:val="20"/>
        </w:rPr>
        <w:t>Muhamasheen</w:t>
      </w:r>
      <w:proofErr w:type="spellEnd"/>
      <w:r w:rsidRPr="00AC0422">
        <w:rPr>
          <w:rFonts w:asciiTheme="minorHAnsi" w:hAnsiTheme="minorHAnsi" w:cstheme="minorHAnsi"/>
          <w:iCs/>
          <w:szCs w:val="20"/>
        </w:rPr>
        <w:t xml:space="preserve"> (</w:t>
      </w:r>
      <w:proofErr w:type="spellStart"/>
      <w:r w:rsidRPr="00AC0422">
        <w:rPr>
          <w:rFonts w:asciiTheme="minorHAnsi" w:hAnsiTheme="minorHAnsi" w:cstheme="minorHAnsi"/>
          <w:iCs/>
          <w:szCs w:val="20"/>
        </w:rPr>
        <w:t>Akhdam</w:t>
      </w:r>
      <w:proofErr w:type="spellEnd"/>
      <w:r w:rsidRPr="00AC0422">
        <w:rPr>
          <w:rFonts w:asciiTheme="minorHAnsi" w:hAnsiTheme="minorHAnsi" w:cstheme="minorHAnsi"/>
          <w:iCs/>
          <w:szCs w:val="20"/>
        </w:rPr>
        <w:t>), non-Muslim minorities, and Indigenous pastoralists, face systemic discrimination that impedes their participation in adaptation efforts and access to necessary support.</w:t>
      </w:r>
    </w:p>
    <w:p w14:paraId="0B7094F7" w14:textId="77777777" w:rsidR="00753C3F" w:rsidRPr="00AC0422" w:rsidRDefault="00753C3F" w:rsidP="00753C3F">
      <w:pPr>
        <w:spacing w:after="0"/>
        <w:rPr>
          <w:rFonts w:asciiTheme="minorHAnsi" w:hAnsiTheme="minorHAnsi" w:cstheme="minorHAnsi"/>
          <w:iCs/>
          <w:szCs w:val="20"/>
        </w:rPr>
      </w:pPr>
    </w:p>
    <w:p w14:paraId="3D4C6B29" w14:textId="5827D704" w:rsidR="00753C3F" w:rsidRPr="00AC0422" w:rsidRDefault="00753C3F" w:rsidP="00753C3F">
      <w:pPr>
        <w:spacing w:after="0"/>
        <w:rPr>
          <w:rFonts w:asciiTheme="minorHAnsi" w:hAnsiTheme="minorHAnsi" w:cstheme="minorHAnsi"/>
          <w:iCs/>
          <w:szCs w:val="20"/>
        </w:rPr>
      </w:pPr>
      <w:r w:rsidRPr="00AC0422">
        <w:rPr>
          <w:rFonts w:asciiTheme="minorHAnsi" w:hAnsiTheme="minorHAnsi" w:cstheme="minorHAnsi"/>
          <w:iCs/>
          <w:szCs w:val="20"/>
        </w:rPr>
        <w:t xml:space="preserve">In Yemen, conflict, the lingering impacts of the COVID-19 pandemic, impacts of climate change have all worsened vulnerabilities for women and girls, deepening inequalities, especially for disabled, displaced, and vulnerable groups. There is significant gender-based inequalities that are reflected in its major development indices. In 2020, Yemen was ranked 155th out of 156 countries in the World Economic Forum’s Global Gender Gap Index, depicting considerable gender disparities . Furthermore, the overlapping and compounding impacts of the crisis, climate change, and the COVID-19 pandemic have severely hindered progress towards the 2030 Agenda, escalating both humanitarian and development needs. This has made it challenging to secure essential funding. In 2021/2022, the Humanitarian Development Index ranked Yemen as the 183rd out of 191 countries, with a score of 0.455 .  Yemeni women remain severely underrepresented in leadership roles, holding only 4.1% of the managerial and decision-making positions, and play minimal roles in peace agreements. </w:t>
      </w:r>
    </w:p>
    <w:p w14:paraId="61B17507" w14:textId="77777777" w:rsidR="00753C3F" w:rsidRPr="00AC0422" w:rsidRDefault="00753C3F" w:rsidP="00753C3F">
      <w:pPr>
        <w:spacing w:after="0"/>
        <w:rPr>
          <w:rFonts w:asciiTheme="minorHAnsi" w:hAnsiTheme="minorHAnsi" w:cstheme="minorHAnsi"/>
          <w:iCs/>
          <w:szCs w:val="20"/>
        </w:rPr>
      </w:pPr>
    </w:p>
    <w:p w14:paraId="37B7CDB3" w14:textId="790F7968" w:rsidR="00753C3F" w:rsidRPr="00AC0422" w:rsidRDefault="00753C3F" w:rsidP="00753C3F">
      <w:pPr>
        <w:spacing w:after="0"/>
        <w:rPr>
          <w:rFonts w:asciiTheme="minorHAnsi" w:hAnsiTheme="minorHAnsi" w:cstheme="minorHAnsi"/>
          <w:iCs/>
          <w:szCs w:val="20"/>
        </w:rPr>
      </w:pPr>
      <w:r w:rsidRPr="00AC0422">
        <w:rPr>
          <w:rFonts w:asciiTheme="minorHAnsi" w:hAnsiTheme="minorHAnsi" w:cstheme="minorHAnsi"/>
          <w:iCs/>
          <w:szCs w:val="20"/>
        </w:rPr>
        <w:t xml:space="preserve">Gender inequality in Yemen leads to restricted movement, early marriage, little to no means to adapt to climate change, and gender-based violence. Women’s workforce participation in the country is only 6%, and structural barriers limit their access to education and basic services.  Key vulnerabilities include women and girls being overburdened by household responsibilities exacerbated by climate-induced water scarcity, food insecurity, and health crises.  Children, elderly, and disabled individuals with limited mobility and weaker health which increases their vulnerability to malnutrition, waterborne diseases, and extreme weather events. Marginalized communities including nomadic and semi-nomadic populations, non-Muslims, and the </w:t>
      </w:r>
      <w:proofErr w:type="spellStart"/>
      <w:r w:rsidRPr="00AC0422">
        <w:rPr>
          <w:rFonts w:asciiTheme="minorHAnsi" w:hAnsiTheme="minorHAnsi" w:cstheme="minorHAnsi"/>
          <w:iCs/>
          <w:szCs w:val="20"/>
        </w:rPr>
        <w:t>Muhamasheen</w:t>
      </w:r>
      <w:proofErr w:type="spellEnd"/>
      <w:r w:rsidRPr="00AC0422">
        <w:rPr>
          <w:rFonts w:asciiTheme="minorHAnsi" w:hAnsiTheme="minorHAnsi" w:cstheme="minorHAnsi"/>
          <w:iCs/>
          <w:szCs w:val="20"/>
        </w:rPr>
        <w:t xml:space="preserve"> experience exclusion from policy discussions and adaptation programs. Internally displaced persons (IDPs) face heightened exposure to climate risks in overcrowded camps with limited resources and poor infrastructure. Climate impact exposure to sensitive sectors such as agriculture has further impacted women negatively, where women are highly represented. In Yemen, employment in the agricultural sector, with most working as contributing family workers, is estimated at 88.1% . Although women have the right to own land, possess, use, manage, and dispose of property, the laws in Yemen are often not effectively implemented in practice. As a result, women frequently face limited access to land ownership, further affecting their abilities to adapt to the impacts of climate change . </w:t>
      </w:r>
    </w:p>
    <w:p w14:paraId="054386C6" w14:textId="77777777" w:rsidR="00753C3F" w:rsidRPr="00AC0422" w:rsidRDefault="00753C3F" w:rsidP="00753C3F">
      <w:pPr>
        <w:spacing w:after="0"/>
        <w:rPr>
          <w:rFonts w:asciiTheme="minorHAnsi" w:hAnsiTheme="minorHAnsi" w:cstheme="minorHAnsi"/>
          <w:iCs/>
          <w:szCs w:val="20"/>
        </w:rPr>
      </w:pPr>
    </w:p>
    <w:p w14:paraId="215B22A6" w14:textId="6FE37D1C" w:rsidR="00753C3F" w:rsidRPr="00AC0422" w:rsidRDefault="00753C3F" w:rsidP="00753C3F">
      <w:pPr>
        <w:spacing w:after="0"/>
        <w:rPr>
          <w:rFonts w:asciiTheme="minorHAnsi" w:hAnsiTheme="minorHAnsi" w:cstheme="minorHAnsi"/>
          <w:iCs/>
          <w:szCs w:val="20"/>
        </w:rPr>
      </w:pPr>
      <w:r w:rsidRPr="00AC0422">
        <w:rPr>
          <w:rFonts w:asciiTheme="minorHAnsi" w:hAnsiTheme="minorHAnsi" w:cstheme="minorHAnsi"/>
          <w:iCs/>
          <w:szCs w:val="20"/>
        </w:rPr>
        <w:t xml:space="preserve">The impacts of climate change are exacerbating the vulnerabilities in Yemen, especially those linked to socio-economic challenges. As of 2023, 12.57% of employed women and 14.23% of men aged 15 and older live below the poverty line, reflecting deep economic disparities. These challenges are worsened by climate change, which negatively impacts agriculture, the main livelihood for many women in Yemen. The adolescent fertility rate, at 52 births per 1,000 girls aged 15-19 in 2022, has decreased but still reflects limited access to family planning and economic opportunities, both of which are crucial in adapting to climate-induced disruptions. Access to financial services, such as bank accounts or mobile money, is limited: only 5.4% of women and 18.4% of men have access, with a gender gap of 12.9, which is smaller than the regional average. Improving financial inclusion is essential for enabling climate adaptation strategies. In 2023, women held 0% of seats in Yemen’s national parliament, highlighting a lack of political representation and leadership in decision-making on climate-related issues. The labor force </w:t>
      </w:r>
      <w:r w:rsidRPr="00AC0422">
        <w:rPr>
          <w:rFonts w:asciiTheme="minorHAnsi" w:hAnsiTheme="minorHAnsi" w:cstheme="minorHAnsi"/>
          <w:iCs/>
          <w:szCs w:val="20"/>
        </w:rPr>
        <w:lastRenderedPageBreak/>
        <w:t>participation rate is starkly different between genders: 5.1% for women compared to 60.4% for men, emphasizing the need for more inclusive policies to enhance women’s resilience to climate change .</w:t>
      </w:r>
    </w:p>
    <w:p w14:paraId="389BAB51" w14:textId="77777777" w:rsidR="00753C3F" w:rsidRPr="00AC0422" w:rsidRDefault="00753C3F" w:rsidP="00753C3F">
      <w:pPr>
        <w:spacing w:after="0"/>
        <w:rPr>
          <w:rFonts w:asciiTheme="minorHAnsi" w:hAnsiTheme="minorHAnsi" w:cstheme="minorHAnsi"/>
          <w:iCs/>
          <w:szCs w:val="20"/>
        </w:rPr>
      </w:pPr>
    </w:p>
    <w:p w14:paraId="4430C026" w14:textId="0A96071D" w:rsidR="00E24112" w:rsidRPr="00AC0422" w:rsidRDefault="00753C3F" w:rsidP="00753C3F">
      <w:pPr>
        <w:spacing w:after="0"/>
        <w:rPr>
          <w:rFonts w:asciiTheme="minorHAnsi" w:hAnsiTheme="minorHAnsi" w:cstheme="minorHAnsi"/>
          <w:i/>
          <w:szCs w:val="20"/>
        </w:rPr>
      </w:pPr>
      <w:r w:rsidRPr="00AC0422">
        <w:rPr>
          <w:rFonts w:asciiTheme="minorHAnsi" w:hAnsiTheme="minorHAnsi" w:cstheme="minorHAnsi"/>
          <w:iCs/>
          <w:szCs w:val="20"/>
        </w:rPr>
        <w:t xml:space="preserve">Women who are internally displaced face increased vulnerabilities amid ongoing crises and climate impacts in Yemen. It is estimated that three-quarters of the 4.5 million displaced people in Yemen are women and children, where around 26% of displaced households are headed by women . The damage to infrastructure and restricted access to basic services have worsened their hardship. In many shelters, the lack of proper sanitation facilities and unsafe conditions in displacement camps elevate the risk of gender-based violence, while limited access to protection and support services leaves these women even more exposed. The NAP project provides an opportunity to address these gender and social inclusion gaps through targeted and inclusive climate adaptation measures.  The project will mainstream gender and social inclusion into key sectoral policies and strategies, and it will ensure that humanitarian response and recovery frameworks are climate risk-informed, which will ensure that the above vulnerabilities are addressed within Yemen’s long-term adaptation planning framework. In addition, the project will directly address some of these vulnerabilities through interventions including developing and providing women and girls with training programs on climate-resilient practices, such as drought-resistant agriculture and water-saving techniques, tailored to women’s roles in household and community management; offering financial literacy programs and improve access to credit for women to support climate-resilient investments; design vocational training for youth in sectors like resilient agriculture, and coastal conservation; identify disaster preparedness and response training needs for caregivers of children, the elderly, and disabled individuals.  </w:t>
      </w:r>
    </w:p>
    <w:p w14:paraId="15617DE7" w14:textId="77777777" w:rsidR="00753C3F" w:rsidRPr="00AC0422" w:rsidRDefault="00753C3F" w:rsidP="007767DC">
      <w:pPr>
        <w:spacing w:after="0"/>
        <w:rPr>
          <w:rFonts w:asciiTheme="minorHAnsi" w:hAnsiTheme="minorHAnsi" w:cstheme="minorHAnsi"/>
          <w:bCs/>
          <w:szCs w:val="20"/>
          <w:u w:val="single"/>
        </w:rPr>
      </w:pPr>
    </w:p>
    <w:p w14:paraId="1D483FE2" w14:textId="24420FB6" w:rsidR="00E24112" w:rsidRPr="00AC0422" w:rsidRDefault="00E24112" w:rsidP="007767DC">
      <w:pPr>
        <w:spacing w:after="0"/>
        <w:rPr>
          <w:rFonts w:asciiTheme="minorHAnsi" w:hAnsiTheme="minorHAnsi" w:cstheme="minorHAnsi"/>
          <w:bCs/>
          <w:i/>
          <w:szCs w:val="20"/>
        </w:rPr>
      </w:pPr>
      <w:r w:rsidRPr="00AC0422">
        <w:rPr>
          <w:rFonts w:asciiTheme="minorHAnsi" w:hAnsiTheme="minorHAnsi" w:cstheme="minorHAnsi"/>
          <w:bCs/>
          <w:szCs w:val="20"/>
          <w:u w:val="single"/>
        </w:rPr>
        <w:t>South-South and Triangular Cooperation</w:t>
      </w:r>
      <w:r w:rsidRPr="00AC0422">
        <w:rPr>
          <w:rFonts w:asciiTheme="minorHAnsi" w:hAnsiTheme="minorHAnsi" w:cstheme="minorHAnsi"/>
          <w:bCs/>
          <w:szCs w:val="20"/>
        </w:rPr>
        <w:t xml:space="preserve"> (</w:t>
      </w:r>
      <w:proofErr w:type="spellStart"/>
      <w:r w:rsidRPr="00AC0422">
        <w:rPr>
          <w:rFonts w:asciiTheme="minorHAnsi" w:hAnsiTheme="minorHAnsi" w:cstheme="minorHAnsi"/>
          <w:bCs/>
          <w:szCs w:val="20"/>
        </w:rPr>
        <w:t>SSTrC</w:t>
      </w:r>
      <w:proofErr w:type="spellEnd"/>
      <w:r w:rsidRPr="00AC0422">
        <w:rPr>
          <w:rFonts w:asciiTheme="minorHAnsi" w:hAnsiTheme="minorHAnsi" w:cstheme="minorHAnsi"/>
          <w:bCs/>
          <w:szCs w:val="20"/>
        </w:rPr>
        <w:t xml:space="preserve">):  </w:t>
      </w:r>
    </w:p>
    <w:p w14:paraId="5D04E723" w14:textId="77777777" w:rsidR="000C0304" w:rsidRPr="00AC0422" w:rsidRDefault="000C0304" w:rsidP="007767DC">
      <w:pPr>
        <w:spacing w:after="0"/>
        <w:rPr>
          <w:rFonts w:asciiTheme="minorHAnsi" w:hAnsiTheme="minorHAnsi" w:cstheme="minorHAnsi"/>
          <w:iCs/>
          <w:szCs w:val="20"/>
        </w:rPr>
      </w:pPr>
    </w:p>
    <w:p w14:paraId="4B66ED4A" w14:textId="31676CED" w:rsidR="000C0304" w:rsidRPr="00AC0422" w:rsidRDefault="000C0304" w:rsidP="007767DC">
      <w:pPr>
        <w:spacing w:after="0"/>
        <w:rPr>
          <w:rFonts w:asciiTheme="minorHAnsi" w:hAnsiTheme="minorHAnsi" w:cstheme="minorHAnsi"/>
          <w:iCs/>
          <w:szCs w:val="20"/>
        </w:rPr>
      </w:pPr>
      <w:r w:rsidRPr="00AC0422">
        <w:rPr>
          <w:rFonts w:asciiTheme="minorHAnsi" w:hAnsiTheme="minorHAnsi" w:cstheme="minorHAnsi"/>
          <w:iCs/>
          <w:szCs w:val="20"/>
        </w:rPr>
        <w:t>The project will ensure interaction, communication, and the exchange of experiences, best practices, and lessons learned with other climate change adaptation projects implemented by UNDP and other donors in the region and beyond. It is also expected that representatives from other countries will have the opportunity to meet during the project's implementation to share their experiences, best practices, and collaborate on activities. There is a high potential for replicating the project's approaches and lessons learned in the region. The project will also explore opportunities for the meaningful participation of national partners in relevant regional and global forums. Innovative knowledge products, such as improved methodologies for climate risk and impact assessments and lessons learned from piloting adaptation planning at sub-national level, produced by the project, will be disseminated via global platforms.</w:t>
      </w:r>
    </w:p>
    <w:p w14:paraId="77C77EEA" w14:textId="77777777" w:rsidR="00E24112" w:rsidRPr="00AC0422" w:rsidRDefault="00E24112" w:rsidP="007767DC">
      <w:pPr>
        <w:pStyle w:val="ListParagraph"/>
        <w:ind w:left="0"/>
        <w:jc w:val="both"/>
        <w:rPr>
          <w:rFonts w:asciiTheme="minorHAnsi" w:hAnsiTheme="minorHAnsi" w:cstheme="minorHAnsi"/>
          <w:sz w:val="20"/>
          <w:szCs w:val="20"/>
          <w:u w:val="single"/>
        </w:rPr>
      </w:pPr>
    </w:p>
    <w:p w14:paraId="7228F573" w14:textId="4833616D" w:rsidR="00964883" w:rsidRPr="00AC0422" w:rsidRDefault="00E24112" w:rsidP="000A35E6">
      <w:pPr>
        <w:rPr>
          <w:rFonts w:asciiTheme="minorHAnsi" w:hAnsiTheme="minorHAnsi" w:cstheme="minorHAnsi"/>
          <w:i/>
          <w:szCs w:val="20"/>
        </w:rPr>
      </w:pPr>
      <w:r w:rsidRPr="00AC0422">
        <w:rPr>
          <w:rFonts w:asciiTheme="minorHAnsi" w:hAnsiTheme="minorHAnsi" w:cstheme="minorHAnsi"/>
          <w:szCs w:val="20"/>
          <w:u w:val="single"/>
        </w:rPr>
        <w:t>Innovativeness, Sustainability and Potential for Scaling Up</w:t>
      </w:r>
      <w:r w:rsidRPr="00AC0422">
        <w:rPr>
          <w:rFonts w:asciiTheme="minorHAnsi" w:hAnsiTheme="minorHAnsi" w:cstheme="minorHAnsi"/>
          <w:szCs w:val="20"/>
        </w:rPr>
        <w:t xml:space="preserve">: </w:t>
      </w:r>
    </w:p>
    <w:p w14:paraId="0F140D07" w14:textId="68AAE972" w:rsidR="000C0304" w:rsidRPr="00AC0422" w:rsidRDefault="000C0304" w:rsidP="000C0304">
      <w:pPr>
        <w:rPr>
          <w:rFonts w:asciiTheme="minorHAnsi" w:hAnsiTheme="minorHAnsi" w:cstheme="minorHAnsi"/>
          <w:iCs/>
        </w:rPr>
      </w:pPr>
      <w:r w:rsidRPr="00AC0422">
        <w:rPr>
          <w:rFonts w:asciiTheme="minorHAnsi" w:hAnsiTheme="minorHAnsi" w:cstheme="minorHAnsi"/>
          <w:iCs/>
        </w:rPr>
        <w:t>The project's impact sustainability is assured through its primary focus on capacity development, specifically centered on generating, managing, and utilizing climate information within well-established institutions. This capacity will be supported and institutionalized through the development of methodological tools and regulatory mechanisms, including budgeting and Monitoring &amp; Evaluation (M&amp;E) procedures, ensuring the integration of climate services at national and sub-national levels by both state institutions and private sector entities.</w:t>
      </w:r>
      <w:r w:rsidR="006619DF" w:rsidRPr="00AC0422">
        <w:rPr>
          <w:rFonts w:asciiTheme="minorHAnsi" w:hAnsiTheme="minorHAnsi" w:cstheme="minorHAnsi"/>
          <w:iCs/>
        </w:rPr>
        <w:t xml:space="preserve"> </w:t>
      </w:r>
      <w:r w:rsidRPr="00AC0422">
        <w:rPr>
          <w:rFonts w:asciiTheme="minorHAnsi" w:hAnsiTheme="minorHAnsi" w:cstheme="minorHAnsi"/>
          <w:iCs/>
        </w:rPr>
        <w:t xml:space="preserve">Additionally, </w:t>
      </w:r>
      <w:r w:rsidR="006619DF" w:rsidRPr="00AC0422">
        <w:rPr>
          <w:rFonts w:asciiTheme="minorHAnsi" w:hAnsiTheme="minorHAnsi" w:cstheme="minorHAnsi"/>
          <w:iCs/>
        </w:rPr>
        <w:t xml:space="preserve">two </w:t>
      </w:r>
      <w:r w:rsidRPr="00AC0422">
        <w:rPr>
          <w:rFonts w:asciiTheme="minorHAnsi" w:hAnsiTheme="minorHAnsi" w:cstheme="minorHAnsi"/>
          <w:iCs/>
        </w:rPr>
        <w:t>GCF-funded project concept note</w:t>
      </w:r>
      <w:r w:rsidR="006619DF" w:rsidRPr="00AC0422">
        <w:rPr>
          <w:rFonts w:asciiTheme="minorHAnsi" w:hAnsiTheme="minorHAnsi" w:cstheme="minorHAnsi"/>
          <w:iCs/>
        </w:rPr>
        <w:t>s</w:t>
      </w:r>
      <w:r w:rsidRPr="00AC0422">
        <w:rPr>
          <w:rFonts w:asciiTheme="minorHAnsi" w:hAnsiTheme="minorHAnsi" w:cstheme="minorHAnsi"/>
          <w:iCs/>
        </w:rPr>
        <w:t xml:space="preserve"> </w:t>
      </w:r>
      <w:r w:rsidR="006619DF" w:rsidRPr="00AC0422">
        <w:rPr>
          <w:rFonts w:asciiTheme="minorHAnsi" w:hAnsiTheme="minorHAnsi" w:cstheme="minorHAnsi"/>
          <w:iCs/>
        </w:rPr>
        <w:t>are</w:t>
      </w:r>
      <w:r w:rsidRPr="00AC0422">
        <w:rPr>
          <w:rFonts w:asciiTheme="minorHAnsi" w:hAnsiTheme="minorHAnsi" w:cstheme="minorHAnsi"/>
          <w:iCs/>
        </w:rPr>
        <w:t xml:space="preserve"> anticipated to sustain and expand the initiatives initiated by this project.</w:t>
      </w:r>
    </w:p>
    <w:p w14:paraId="6FCEE462" w14:textId="77777777" w:rsidR="00964883" w:rsidRPr="00AC0422" w:rsidRDefault="00964883" w:rsidP="000C0304">
      <w:pPr>
        <w:rPr>
          <w:rFonts w:asciiTheme="minorHAnsi" w:hAnsiTheme="minorHAnsi" w:cstheme="minorHAnsi"/>
          <w:iCs/>
          <w:lang w:val="en-GB"/>
        </w:rPr>
      </w:pPr>
    </w:p>
    <w:p w14:paraId="2065F30A" w14:textId="77777777" w:rsidR="00E24112" w:rsidRPr="00AC0422" w:rsidRDefault="00E24112" w:rsidP="001875AB">
      <w:pPr>
        <w:spacing w:after="0"/>
        <w:jc w:val="left"/>
        <w:rPr>
          <w:rFonts w:asciiTheme="minorHAnsi" w:hAnsiTheme="minorHAnsi" w:cstheme="minorHAnsi"/>
          <w:szCs w:val="20"/>
        </w:rPr>
      </w:pPr>
    </w:p>
    <w:p w14:paraId="2B7F1C04" w14:textId="77777777" w:rsidR="00C258C3" w:rsidRPr="00AC0422" w:rsidRDefault="00C258C3" w:rsidP="001354E3">
      <w:pPr>
        <w:spacing w:after="0"/>
        <w:jc w:val="left"/>
        <w:rPr>
          <w:rStyle w:val="Hyperlink"/>
          <w:rFonts w:asciiTheme="minorHAnsi" w:hAnsiTheme="minorHAnsi" w:cstheme="minorHAnsi"/>
          <w:i/>
          <w:color w:val="auto"/>
          <w:szCs w:val="20"/>
          <w:u w:val="none"/>
        </w:rPr>
      </w:pPr>
    </w:p>
    <w:p w14:paraId="466283CB" w14:textId="77777777" w:rsidR="009F19D4" w:rsidRPr="00AC0422" w:rsidRDefault="009F19D4" w:rsidP="001354E3">
      <w:pPr>
        <w:pStyle w:val="Heading1"/>
        <w:numPr>
          <w:ilvl w:val="0"/>
          <w:numId w:val="0"/>
        </w:numPr>
        <w:spacing w:before="0" w:after="0"/>
        <w:jc w:val="left"/>
        <w:rPr>
          <w:rFonts w:asciiTheme="minorHAnsi" w:hAnsiTheme="minorHAnsi" w:cstheme="minorHAnsi"/>
          <w:color w:val="000000"/>
        </w:rPr>
        <w:sectPr w:rsidR="009F19D4" w:rsidRPr="00AC0422" w:rsidSect="00950B12">
          <w:pgSz w:w="12240" w:h="15840" w:code="1"/>
          <w:pgMar w:top="1440" w:right="1440" w:bottom="1440" w:left="1440" w:header="720" w:footer="432" w:gutter="0"/>
          <w:cols w:space="708"/>
          <w:titlePg/>
          <w:docGrid w:linePitch="360"/>
        </w:sectPr>
      </w:pPr>
      <w:bookmarkStart w:id="29" w:name="_Toc207800912"/>
    </w:p>
    <w:p w14:paraId="4C66E161" w14:textId="77777777" w:rsidR="0053408E" w:rsidRPr="00AC0422" w:rsidRDefault="0053408E" w:rsidP="003B2A79">
      <w:pPr>
        <w:pStyle w:val="Heading1"/>
        <w:spacing w:before="0" w:after="60"/>
        <w:rPr>
          <w:rFonts w:asciiTheme="minorHAnsi" w:hAnsiTheme="minorHAnsi" w:cstheme="minorHAnsi"/>
          <w:szCs w:val="28"/>
        </w:rPr>
      </w:pPr>
      <w:bookmarkStart w:id="30" w:name="_Toc40273938"/>
      <w:r w:rsidRPr="00AC0422">
        <w:rPr>
          <w:rFonts w:asciiTheme="minorHAnsi" w:hAnsiTheme="minorHAnsi" w:cstheme="minorHAnsi"/>
          <w:szCs w:val="28"/>
        </w:rPr>
        <w:lastRenderedPageBreak/>
        <w:t>Project Results Framework</w:t>
      </w:r>
      <w:bookmarkEnd w:id="30"/>
    </w:p>
    <w:p w14:paraId="4669A1BC" w14:textId="77777777" w:rsidR="00C87177" w:rsidRPr="00AC0422" w:rsidRDefault="00C87177" w:rsidP="00C87177">
      <w:pPr>
        <w:rPr>
          <w:rFonts w:asciiTheme="minorHAnsi" w:hAnsiTheme="minorHAnsi" w:cstheme="minorHAnsi"/>
        </w:rPr>
      </w:pPr>
    </w:p>
    <w:tbl>
      <w:tblPr>
        <w:tblW w:w="144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0"/>
      </w:tblGrid>
      <w:tr w:rsidR="004021D6" w:rsidRPr="00AC0422" w14:paraId="08ADAE15" w14:textId="77777777" w:rsidTr="006619DF">
        <w:trPr>
          <w:trHeight w:val="305"/>
        </w:trPr>
        <w:tc>
          <w:tcPr>
            <w:tcW w:w="14400" w:type="dxa"/>
            <w:shd w:val="clear" w:color="auto" w:fill="auto"/>
          </w:tcPr>
          <w:p w14:paraId="641B5C38" w14:textId="51584EBF" w:rsidR="004021D6" w:rsidRPr="00AC0422" w:rsidRDefault="004021D6" w:rsidP="004021D6">
            <w:pPr>
              <w:rPr>
                <w:rFonts w:asciiTheme="minorHAnsi" w:hAnsiTheme="minorHAnsi" w:cstheme="minorHAnsi"/>
                <w:sz w:val="16"/>
                <w:szCs w:val="16"/>
                <w:highlight w:val="yellow"/>
              </w:rPr>
            </w:pPr>
            <w:r w:rsidRPr="00AC0422">
              <w:rPr>
                <w:rFonts w:asciiTheme="minorHAnsi" w:hAnsiTheme="minorHAnsi" w:cstheme="minorHAnsi"/>
                <w:b/>
                <w:sz w:val="16"/>
                <w:szCs w:val="16"/>
                <w:highlight w:val="yellow"/>
              </w:rPr>
              <w:t xml:space="preserve">This project will contribute to the following Sustainable Development Goal (s):  </w:t>
            </w:r>
            <w:r w:rsidR="006619DF" w:rsidRPr="00AC0422">
              <w:rPr>
                <w:rFonts w:asciiTheme="minorHAnsi" w:hAnsiTheme="minorHAnsi" w:cstheme="minorHAnsi"/>
                <w:sz w:val="16"/>
                <w:szCs w:val="16"/>
                <w:highlight w:val="yellow"/>
              </w:rPr>
              <w:t>SDG 13: Take urgent action to combat climate change and its impacts</w:t>
            </w:r>
            <w:r w:rsidR="008F79D0">
              <w:rPr>
                <w:rFonts w:asciiTheme="minorHAnsi" w:hAnsiTheme="minorHAnsi" w:cstheme="minorHAnsi"/>
                <w:sz w:val="16"/>
                <w:szCs w:val="16"/>
                <w:highlight w:val="yellow"/>
              </w:rPr>
              <w:t xml:space="preserve">, </w:t>
            </w:r>
            <w:r w:rsidR="008F79D0" w:rsidRPr="008F79D0">
              <w:rPr>
                <w:rFonts w:asciiTheme="minorHAnsi" w:hAnsiTheme="minorHAnsi" w:cstheme="minorHAnsi"/>
                <w:sz w:val="16"/>
                <w:szCs w:val="16"/>
              </w:rPr>
              <w:t>SDG 6: Clean Water and Sanitation</w:t>
            </w:r>
            <w:r w:rsidR="008F79D0">
              <w:rPr>
                <w:rFonts w:asciiTheme="minorHAnsi" w:hAnsiTheme="minorHAnsi" w:cstheme="minorHAnsi"/>
                <w:sz w:val="16"/>
                <w:szCs w:val="16"/>
              </w:rPr>
              <w:t xml:space="preserve">, </w:t>
            </w:r>
            <w:r w:rsidR="0004135C" w:rsidRPr="0004135C">
              <w:rPr>
                <w:rFonts w:asciiTheme="minorHAnsi" w:hAnsiTheme="minorHAnsi" w:cstheme="minorHAnsi"/>
                <w:sz w:val="16"/>
                <w:szCs w:val="16"/>
              </w:rPr>
              <w:t xml:space="preserve">SDG </w:t>
            </w:r>
            <w:r w:rsidR="0004135C">
              <w:rPr>
                <w:rFonts w:asciiTheme="minorHAnsi" w:hAnsiTheme="minorHAnsi" w:cstheme="minorHAnsi"/>
                <w:sz w:val="16"/>
                <w:szCs w:val="16"/>
              </w:rPr>
              <w:t xml:space="preserve">2: Zero Hunger, SDG 3: Good Health and Well-being, SDG 14: Life below </w:t>
            </w:r>
            <w:r w:rsidR="009B4748">
              <w:rPr>
                <w:rFonts w:asciiTheme="minorHAnsi" w:hAnsiTheme="minorHAnsi" w:cstheme="minorHAnsi"/>
                <w:sz w:val="16"/>
                <w:szCs w:val="16"/>
              </w:rPr>
              <w:t xml:space="preserve">water, SDG 15: Life on land, SDG 5: Gender equality, SGD 1: No poverty, SDG 11: Sustainable cities and communities, and SDG 17: Partnerships for the goals. </w:t>
            </w:r>
          </w:p>
        </w:tc>
      </w:tr>
      <w:tr w:rsidR="004021D6" w:rsidRPr="00AC0422" w14:paraId="27326118" w14:textId="77777777" w:rsidTr="006619DF">
        <w:trPr>
          <w:trHeight w:val="287"/>
        </w:trPr>
        <w:tc>
          <w:tcPr>
            <w:tcW w:w="14400" w:type="dxa"/>
            <w:shd w:val="clear" w:color="auto" w:fill="auto"/>
          </w:tcPr>
          <w:p w14:paraId="09FC1806" w14:textId="282D6944" w:rsidR="004021D6" w:rsidRPr="00AC0422" w:rsidRDefault="004021D6" w:rsidP="004021D6">
            <w:pPr>
              <w:rPr>
                <w:rFonts w:asciiTheme="minorHAnsi" w:hAnsiTheme="minorHAnsi" w:cstheme="minorHAnsi"/>
                <w:b/>
                <w:sz w:val="16"/>
                <w:szCs w:val="16"/>
                <w:highlight w:val="yellow"/>
              </w:rPr>
            </w:pPr>
            <w:r w:rsidRPr="00AC0422">
              <w:rPr>
                <w:rFonts w:asciiTheme="minorHAnsi" w:hAnsiTheme="minorHAnsi" w:cstheme="minorHAnsi"/>
                <w:b/>
                <w:bCs/>
                <w:sz w:val="16"/>
                <w:szCs w:val="16"/>
                <w:highlight w:val="yellow"/>
              </w:rPr>
              <w:t xml:space="preserve">This project will contribute to the following country outcome included in the UNDAF/Country </w:t>
            </w:r>
            <w:proofErr w:type="spellStart"/>
            <w:r w:rsidRPr="00AC0422">
              <w:rPr>
                <w:rFonts w:asciiTheme="minorHAnsi" w:hAnsiTheme="minorHAnsi" w:cstheme="minorHAnsi"/>
                <w:b/>
                <w:bCs/>
                <w:sz w:val="16"/>
                <w:szCs w:val="16"/>
                <w:highlight w:val="yellow"/>
              </w:rPr>
              <w:t>Programme</w:t>
            </w:r>
            <w:proofErr w:type="spellEnd"/>
            <w:r w:rsidRPr="00AC0422">
              <w:rPr>
                <w:rFonts w:asciiTheme="minorHAnsi" w:hAnsiTheme="minorHAnsi" w:cstheme="minorHAnsi"/>
                <w:b/>
                <w:bCs/>
                <w:sz w:val="16"/>
                <w:szCs w:val="16"/>
                <w:highlight w:val="yellow"/>
              </w:rPr>
              <w:t xml:space="preserve"> Document</w:t>
            </w:r>
            <w:r w:rsidRPr="00282B2C">
              <w:rPr>
                <w:rFonts w:asciiTheme="minorHAnsi" w:hAnsiTheme="minorHAnsi" w:cstheme="minorHAnsi"/>
                <w:sz w:val="16"/>
                <w:szCs w:val="16"/>
                <w:highlight w:val="yellow"/>
              </w:rPr>
              <w:t xml:space="preserve">: </w:t>
            </w:r>
            <w:r w:rsidR="009D2F3B" w:rsidRPr="00282B2C">
              <w:rPr>
                <w:rFonts w:asciiTheme="minorHAnsi" w:hAnsiTheme="minorHAnsi" w:cstheme="minorHAnsi"/>
                <w:sz w:val="16"/>
                <w:szCs w:val="16"/>
              </w:rPr>
              <w:t>Outcome 1: By 2025, people in Yemen, especially women, adolescents and girls and those in the most vulnerable and marginalized communities benefit from better, equal and inclusive access to nutritious food, sustainable and resilient livelihoods and environmental stability</w:t>
            </w:r>
            <w:r w:rsidR="009D2F3B" w:rsidRPr="009D2F3B">
              <w:rPr>
                <w:rFonts w:asciiTheme="minorHAnsi" w:hAnsiTheme="minorHAnsi" w:cstheme="minorHAnsi"/>
                <w:b/>
                <w:bCs/>
                <w:sz w:val="16"/>
                <w:szCs w:val="16"/>
                <w:highlight w:val="yellow"/>
              </w:rPr>
              <w:t xml:space="preserve"> </w:t>
            </w:r>
          </w:p>
        </w:tc>
      </w:tr>
      <w:tr w:rsidR="00151E82" w:rsidRPr="00AC0422" w14:paraId="1E093057" w14:textId="77777777" w:rsidTr="006619DF">
        <w:trPr>
          <w:trHeight w:val="287"/>
        </w:trPr>
        <w:tc>
          <w:tcPr>
            <w:tcW w:w="14400" w:type="dxa"/>
            <w:shd w:val="clear" w:color="auto" w:fill="auto"/>
          </w:tcPr>
          <w:p w14:paraId="45742CF0" w14:textId="05061EED" w:rsidR="006619DF" w:rsidRPr="00AC0422" w:rsidRDefault="00151E82" w:rsidP="006619DF">
            <w:pPr>
              <w:jc w:val="left"/>
              <w:rPr>
                <w:rFonts w:asciiTheme="minorHAnsi" w:hAnsiTheme="minorHAnsi" w:cstheme="minorHAnsi"/>
                <w:iCs/>
                <w:sz w:val="16"/>
                <w:szCs w:val="16"/>
                <w:highlight w:val="yellow"/>
              </w:rPr>
            </w:pPr>
            <w:r w:rsidRPr="00AC0422">
              <w:rPr>
                <w:rFonts w:asciiTheme="minorHAnsi" w:hAnsiTheme="minorHAnsi" w:cstheme="minorHAnsi"/>
                <w:b/>
                <w:bCs/>
                <w:sz w:val="16"/>
                <w:szCs w:val="16"/>
                <w:highlight w:val="yellow"/>
              </w:rPr>
              <w:t>This project will be linked to the following output of the UNDP Strategic Plan:</w:t>
            </w:r>
            <w:r w:rsidRPr="00AC0422">
              <w:rPr>
                <w:rFonts w:asciiTheme="minorHAnsi" w:hAnsiTheme="minorHAnsi" w:cstheme="minorHAnsi"/>
                <w:i/>
                <w:sz w:val="16"/>
                <w:szCs w:val="16"/>
                <w:highlight w:val="yellow"/>
              </w:rPr>
              <w:t xml:space="preserve"> </w:t>
            </w:r>
          </w:p>
          <w:p w14:paraId="51FACFF8" w14:textId="275BCFA7" w:rsidR="00151E82" w:rsidRPr="00AC0422" w:rsidRDefault="006619DF" w:rsidP="006619DF">
            <w:pPr>
              <w:jc w:val="left"/>
              <w:rPr>
                <w:rFonts w:asciiTheme="minorHAnsi" w:hAnsiTheme="minorHAnsi" w:cstheme="minorHAnsi"/>
                <w:iCs/>
                <w:sz w:val="16"/>
                <w:szCs w:val="16"/>
                <w:highlight w:val="yellow"/>
              </w:rPr>
            </w:pPr>
            <w:r w:rsidRPr="00282B2C">
              <w:rPr>
                <w:rFonts w:asciiTheme="minorHAnsi" w:hAnsiTheme="minorHAnsi" w:cstheme="minorHAnsi"/>
                <w:iCs/>
                <w:sz w:val="16"/>
                <w:szCs w:val="16"/>
              </w:rPr>
              <w:t>2.3.1 Data and risk-informed development policies, plans, systems and financing incorporate integrated and gender-responsive solutions to reduce disaster risks, enable climate change adaptation and mitigation, and prevent risk of conflict</w:t>
            </w:r>
          </w:p>
        </w:tc>
      </w:tr>
    </w:tbl>
    <w:p w14:paraId="6BACA90A" w14:textId="77777777" w:rsidR="00254EA4" w:rsidRPr="00AC0422" w:rsidRDefault="00254EA4">
      <w:pPr>
        <w:rPr>
          <w:rFonts w:asciiTheme="minorHAnsi" w:hAnsiTheme="minorHAnsi" w:cstheme="minorHAnsi"/>
        </w:rPr>
      </w:pPr>
    </w:p>
    <w:p w14:paraId="2E0B953C" w14:textId="77777777" w:rsidR="00254EA4" w:rsidRPr="00AC0422" w:rsidRDefault="00254EA4">
      <w:pPr>
        <w:rPr>
          <w:rFonts w:asciiTheme="minorHAnsi" w:hAnsiTheme="minorHAnsi" w:cstheme="minorHAnsi"/>
        </w:rPr>
      </w:pPr>
    </w:p>
    <w:p w14:paraId="403AC3C4" w14:textId="5C04635A" w:rsidR="0053408E" w:rsidRPr="00AC0422" w:rsidRDefault="00420DAB" w:rsidP="00C87177">
      <w:pPr>
        <w:rPr>
          <w:rFonts w:asciiTheme="minorHAnsi" w:hAnsiTheme="minorHAnsi" w:cstheme="minorHAnsi"/>
        </w:rPr>
        <w:sectPr w:rsidR="0053408E" w:rsidRPr="00AC0422" w:rsidSect="00950B12">
          <w:pgSz w:w="15840" w:h="12240" w:orient="landscape" w:code="1"/>
          <w:pgMar w:top="720" w:right="720" w:bottom="720" w:left="720" w:header="720" w:footer="432" w:gutter="0"/>
          <w:cols w:space="708"/>
          <w:titlePg/>
          <w:docGrid w:linePitch="360"/>
        </w:sectPr>
      </w:pPr>
      <w:r w:rsidRPr="00AC0422">
        <w:rPr>
          <w:rFonts w:asciiTheme="minorHAnsi" w:hAnsiTheme="minorHAnsi" w:cstheme="minorHAnsi"/>
          <w:noProof/>
        </w:rPr>
        <w:lastRenderedPageBreak/>
        <w:drawing>
          <wp:inline distT="0" distB="0" distL="0" distR="0" wp14:anchorId="544AD89F" wp14:editId="581B3557">
            <wp:extent cx="8874760" cy="6858000"/>
            <wp:effectExtent l="0" t="0" r="2540" b="0"/>
            <wp:docPr id="1908558171" name="Picture 20" descr="A screenshot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558171" name="Picture 20" descr="A screenshot of a document&#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r w:rsidRPr="00AC0422">
        <w:rPr>
          <w:rFonts w:asciiTheme="minorHAnsi" w:hAnsiTheme="minorHAnsi" w:cstheme="minorHAnsi"/>
          <w:noProof/>
        </w:rPr>
        <w:lastRenderedPageBreak/>
        <w:drawing>
          <wp:inline distT="0" distB="0" distL="0" distR="0" wp14:anchorId="42A8C2C7" wp14:editId="5F68F210">
            <wp:extent cx="8874760" cy="6858000"/>
            <wp:effectExtent l="0" t="0" r="2540" b="0"/>
            <wp:docPr id="661375255" name="Picture 21" descr="A screenshot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375255" name="Picture 21" descr="A screenshot of a document&#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r w:rsidRPr="00AC0422">
        <w:rPr>
          <w:rFonts w:asciiTheme="minorHAnsi" w:hAnsiTheme="minorHAnsi" w:cstheme="minorHAnsi"/>
          <w:noProof/>
        </w:rPr>
        <w:lastRenderedPageBreak/>
        <w:drawing>
          <wp:inline distT="0" distB="0" distL="0" distR="0" wp14:anchorId="755D1A99" wp14:editId="188FCAEF">
            <wp:extent cx="8874760" cy="6858000"/>
            <wp:effectExtent l="0" t="0" r="2540" b="0"/>
            <wp:docPr id="95982677" name="Picture 22" descr="A screenshot of a surve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82677" name="Picture 22" descr="A screenshot of a survey&#10;&#10;AI-generated content may be incorrect."/>
                    <pic:cNvPicPr/>
                  </pic:nvPicPr>
                  <pic:blipFill>
                    <a:blip r:embed="rId38"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r w:rsidRPr="00AC0422">
        <w:rPr>
          <w:rFonts w:asciiTheme="minorHAnsi" w:hAnsiTheme="minorHAnsi" w:cstheme="minorHAnsi"/>
          <w:noProof/>
        </w:rPr>
        <w:lastRenderedPageBreak/>
        <w:drawing>
          <wp:inline distT="0" distB="0" distL="0" distR="0" wp14:anchorId="2121D782" wp14:editId="0C3CEE54">
            <wp:extent cx="8874760" cy="6858000"/>
            <wp:effectExtent l="0" t="0" r="2540" b="0"/>
            <wp:docPr id="1982873092" name="Picture 23"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873092" name="Picture 23" descr="A screenshot of a chart&#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r w:rsidRPr="00AC0422">
        <w:rPr>
          <w:rFonts w:asciiTheme="minorHAnsi" w:hAnsiTheme="minorHAnsi" w:cstheme="minorHAnsi"/>
          <w:noProof/>
        </w:rPr>
        <w:lastRenderedPageBreak/>
        <w:drawing>
          <wp:inline distT="0" distB="0" distL="0" distR="0" wp14:anchorId="42B43FB6" wp14:editId="1075A4B8">
            <wp:extent cx="8874760" cy="6858000"/>
            <wp:effectExtent l="0" t="0" r="2540" b="0"/>
            <wp:docPr id="1972421530" name="Picture 24" descr="A screen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421530" name="Picture 24" descr="A screenshot of a chart&#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r w:rsidRPr="00AC0422">
        <w:rPr>
          <w:rFonts w:asciiTheme="minorHAnsi" w:hAnsiTheme="minorHAnsi" w:cstheme="minorHAnsi"/>
          <w:noProof/>
        </w:rPr>
        <w:lastRenderedPageBreak/>
        <w:drawing>
          <wp:inline distT="0" distB="0" distL="0" distR="0" wp14:anchorId="44E61844" wp14:editId="68E7675F">
            <wp:extent cx="8874760" cy="6858000"/>
            <wp:effectExtent l="0" t="0" r="2540" b="0"/>
            <wp:docPr id="269666102" name="Picture 25" descr="A screenshot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666102" name="Picture 25" descr="A screenshot of a diagram&#10;&#10;AI-generated content may be incorrect."/>
                    <pic:cNvPicPr/>
                  </pic:nvPicPr>
                  <pic:blipFill>
                    <a:blip r:embed="rId41"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r w:rsidRPr="00AC0422">
        <w:rPr>
          <w:rFonts w:asciiTheme="minorHAnsi" w:hAnsiTheme="minorHAnsi" w:cstheme="minorHAnsi"/>
          <w:noProof/>
        </w:rPr>
        <w:lastRenderedPageBreak/>
        <w:drawing>
          <wp:inline distT="0" distB="0" distL="0" distR="0" wp14:anchorId="3E16593D" wp14:editId="790FA986">
            <wp:extent cx="8874760" cy="6858000"/>
            <wp:effectExtent l="0" t="0" r="2540" b="0"/>
            <wp:docPr id="625296483" name="Picture 26" descr="A screenshot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296483" name="Picture 26" descr="A screenshot of a document&#10;&#10;AI-generated content may be incorrect."/>
                    <pic:cNvPicPr/>
                  </pic:nvPicPr>
                  <pic:blipFill>
                    <a:blip r:embed="rId42"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r w:rsidRPr="00AC0422">
        <w:rPr>
          <w:rFonts w:asciiTheme="minorHAnsi" w:hAnsiTheme="minorHAnsi" w:cstheme="minorHAnsi"/>
          <w:noProof/>
        </w:rPr>
        <w:lastRenderedPageBreak/>
        <w:drawing>
          <wp:inline distT="0" distB="0" distL="0" distR="0" wp14:anchorId="2F644DAF" wp14:editId="0B0FD29E">
            <wp:extent cx="8874760" cy="6858000"/>
            <wp:effectExtent l="0" t="0" r="2540" b="0"/>
            <wp:docPr id="1091420089" name="Picture 2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420089" name="Picture 27" descr="A screenshot of a computer&#10;&#10;AI-generated content may be incorrect."/>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874760" cy="6858000"/>
                    </a:xfrm>
                    <a:prstGeom prst="rect">
                      <a:avLst/>
                    </a:prstGeom>
                  </pic:spPr>
                </pic:pic>
              </a:graphicData>
            </a:graphic>
          </wp:inline>
        </w:drawing>
      </w:r>
    </w:p>
    <w:p w14:paraId="297501E2" w14:textId="77777777" w:rsidR="0053408E" w:rsidRPr="00AC0422" w:rsidRDefault="0053408E" w:rsidP="003B2A79">
      <w:pPr>
        <w:pStyle w:val="Heading1"/>
        <w:spacing w:before="0" w:after="60"/>
        <w:rPr>
          <w:rFonts w:asciiTheme="minorHAnsi" w:hAnsiTheme="minorHAnsi" w:cstheme="minorHAnsi"/>
          <w:szCs w:val="28"/>
        </w:rPr>
      </w:pPr>
      <w:bookmarkStart w:id="31" w:name="_Toc40273939"/>
      <w:bookmarkStart w:id="32" w:name="_Toc207800914"/>
      <w:bookmarkStart w:id="33" w:name="_Toc407785522"/>
      <w:bookmarkEnd w:id="29"/>
      <w:r w:rsidRPr="00AC0422">
        <w:rPr>
          <w:rFonts w:asciiTheme="minorHAnsi" w:hAnsiTheme="minorHAnsi" w:cstheme="minorHAnsi"/>
          <w:szCs w:val="28"/>
        </w:rPr>
        <w:lastRenderedPageBreak/>
        <w:t>Monitoring and Evaluation (M&amp;E) Plan</w:t>
      </w:r>
      <w:bookmarkEnd w:id="31"/>
    </w:p>
    <w:p w14:paraId="327D54DD" w14:textId="34C5A127" w:rsidR="00C13FEB" w:rsidRPr="00AC0422" w:rsidRDefault="00C13FEB" w:rsidP="006619DF">
      <w:pPr>
        <w:spacing w:after="0"/>
        <w:jc w:val="left"/>
        <w:rPr>
          <w:rFonts w:asciiTheme="minorHAnsi" w:hAnsiTheme="minorHAnsi" w:cstheme="minorHAnsi"/>
          <w:szCs w:val="20"/>
        </w:rPr>
      </w:pPr>
    </w:p>
    <w:p w14:paraId="25FAB678" w14:textId="1582D5DF" w:rsidR="00793A57" w:rsidRPr="00AC0422" w:rsidRDefault="009836F7" w:rsidP="001354E3">
      <w:pPr>
        <w:spacing w:after="0"/>
        <w:jc w:val="left"/>
        <w:rPr>
          <w:rFonts w:asciiTheme="minorHAnsi" w:hAnsiTheme="minorHAnsi" w:cstheme="minorHAnsi"/>
          <w:szCs w:val="20"/>
        </w:rPr>
      </w:pPr>
      <w:r w:rsidRPr="00AC0422">
        <w:rPr>
          <w:rFonts w:asciiTheme="minorHAnsi" w:hAnsiTheme="minorHAnsi" w:cstheme="minorHAnsi"/>
          <w:szCs w:val="20"/>
        </w:rPr>
        <w:t xml:space="preserve">The project results as outlined in the project results framework will be monitored and reported annually and evaluated periodically during project implementation to ensure the project effectively achieves these results.  </w:t>
      </w:r>
    </w:p>
    <w:p w14:paraId="4FD6C20D" w14:textId="77777777" w:rsidR="009836F7" w:rsidRPr="00AC0422" w:rsidRDefault="009836F7" w:rsidP="001354E3">
      <w:pPr>
        <w:spacing w:after="0"/>
        <w:jc w:val="left"/>
        <w:rPr>
          <w:rFonts w:asciiTheme="minorHAnsi" w:hAnsiTheme="minorHAnsi" w:cstheme="minorHAnsi"/>
          <w:szCs w:val="20"/>
        </w:rPr>
      </w:pPr>
    </w:p>
    <w:p w14:paraId="6BC1DC3D" w14:textId="2B102B23" w:rsidR="00BC1B09" w:rsidRPr="00AC0422" w:rsidRDefault="0053408E" w:rsidP="001354E3">
      <w:pPr>
        <w:spacing w:after="0"/>
        <w:jc w:val="left"/>
        <w:rPr>
          <w:rFonts w:asciiTheme="minorHAnsi" w:hAnsiTheme="minorHAnsi" w:cstheme="minorHAnsi"/>
          <w:szCs w:val="20"/>
        </w:rPr>
      </w:pPr>
      <w:r w:rsidRPr="00AC0422">
        <w:rPr>
          <w:rFonts w:asciiTheme="minorHAnsi" w:hAnsiTheme="minorHAnsi" w:cstheme="minorHAnsi"/>
          <w:szCs w:val="20"/>
        </w:rPr>
        <w:t>Project-level monitoring and evaluation will be undertaken in compliance with</w:t>
      </w:r>
      <w:r w:rsidR="004D2F82" w:rsidRPr="00AC0422">
        <w:rPr>
          <w:rFonts w:asciiTheme="minorHAnsi" w:hAnsiTheme="minorHAnsi" w:cstheme="minorHAnsi"/>
          <w:szCs w:val="20"/>
        </w:rPr>
        <w:t xml:space="preserve"> </w:t>
      </w:r>
      <w:r w:rsidR="00C36EC7" w:rsidRPr="00AC0422">
        <w:rPr>
          <w:rFonts w:asciiTheme="minorHAnsi" w:hAnsiTheme="minorHAnsi" w:cstheme="minorHAnsi"/>
          <w:szCs w:val="20"/>
        </w:rPr>
        <w:t xml:space="preserve">UNDP </w:t>
      </w:r>
      <w:r w:rsidR="004D2F82" w:rsidRPr="00AC0422">
        <w:rPr>
          <w:rFonts w:asciiTheme="minorHAnsi" w:hAnsiTheme="minorHAnsi" w:cstheme="minorHAnsi"/>
          <w:szCs w:val="20"/>
        </w:rPr>
        <w:t>requirements as outlined in the</w:t>
      </w:r>
      <w:r w:rsidRPr="00AC0422">
        <w:rPr>
          <w:rFonts w:asciiTheme="minorHAnsi" w:hAnsiTheme="minorHAnsi" w:cstheme="minorHAnsi"/>
          <w:szCs w:val="20"/>
        </w:rPr>
        <w:t xml:space="preserve"> </w:t>
      </w:r>
      <w:hyperlink r:id="rId44" w:history="1">
        <w:r w:rsidRPr="00AC0422">
          <w:rPr>
            <w:rStyle w:val="Hyperlink"/>
            <w:rFonts w:asciiTheme="minorHAnsi" w:hAnsiTheme="minorHAnsi" w:cstheme="minorHAnsi"/>
            <w:szCs w:val="20"/>
          </w:rPr>
          <w:t>UNDP POPP</w:t>
        </w:r>
      </w:hyperlink>
      <w:r w:rsidR="004D2F82" w:rsidRPr="00AC0422">
        <w:rPr>
          <w:rStyle w:val="Hyperlink"/>
          <w:rFonts w:asciiTheme="minorHAnsi" w:hAnsiTheme="minorHAnsi" w:cstheme="minorHAnsi"/>
          <w:szCs w:val="20"/>
        </w:rPr>
        <w:t xml:space="preserve"> </w:t>
      </w:r>
      <w:r w:rsidR="004D2F82" w:rsidRPr="00AC0422">
        <w:rPr>
          <w:rStyle w:val="Hyperlink"/>
          <w:rFonts w:asciiTheme="minorHAnsi" w:hAnsiTheme="minorHAnsi" w:cstheme="minorHAnsi"/>
          <w:color w:val="auto"/>
          <w:szCs w:val="20"/>
          <w:u w:val="none"/>
        </w:rPr>
        <w:t xml:space="preserve">and </w:t>
      </w:r>
      <w:hyperlink r:id="rId45" w:history="1">
        <w:r w:rsidR="004D2F82" w:rsidRPr="00AC0422">
          <w:rPr>
            <w:rStyle w:val="Hyperlink"/>
            <w:rFonts w:asciiTheme="minorHAnsi" w:hAnsiTheme="minorHAnsi" w:cstheme="minorHAnsi"/>
            <w:szCs w:val="20"/>
          </w:rPr>
          <w:t>UNDP Evaluation Policy</w:t>
        </w:r>
      </w:hyperlink>
      <w:r w:rsidR="008F7176" w:rsidRPr="00AC0422">
        <w:rPr>
          <w:rStyle w:val="Hyperlink"/>
          <w:rFonts w:asciiTheme="minorHAnsi" w:hAnsiTheme="minorHAnsi" w:cstheme="minorHAnsi"/>
          <w:szCs w:val="20"/>
          <w:u w:val="none"/>
        </w:rPr>
        <w:t>.</w:t>
      </w:r>
      <w:r w:rsidR="00B344BE" w:rsidRPr="00AC0422">
        <w:rPr>
          <w:rStyle w:val="Hyperlink"/>
          <w:rFonts w:asciiTheme="minorHAnsi" w:hAnsiTheme="minorHAnsi" w:cstheme="minorHAnsi"/>
          <w:szCs w:val="20"/>
          <w:u w:val="none"/>
        </w:rPr>
        <w:t xml:space="preserve"> </w:t>
      </w:r>
      <w:r w:rsidR="00B344BE" w:rsidRPr="00AC0422">
        <w:rPr>
          <w:rStyle w:val="Hyperlink"/>
          <w:rFonts w:asciiTheme="minorHAnsi" w:hAnsiTheme="minorHAnsi" w:cstheme="minorHAnsi"/>
          <w:color w:val="auto"/>
          <w:szCs w:val="20"/>
          <w:u w:val="none"/>
        </w:rPr>
        <w:t>The UNDP Country Office is responsible for ensuring full compliance with all UNDP project monitoring, quality assurance, risk management, and evaluation requirements.</w:t>
      </w:r>
      <w:r w:rsidR="009836F7" w:rsidRPr="00AC0422">
        <w:rPr>
          <w:rStyle w:val="Hyperlink"/>
          <w:rFonts w:asciiTheme="minorHAnsi" w:hAnsiTheme="minorHAnsi" w:cstheme="minorHAnsi"/>
          <w:color w:val="auto"/>
          <w:szCs w:val="20"/>
          <w:u w:val="none"/>
        </w:rPr>
        <w:t xml:space="preserve"> </w:t>
      </w:r>
      <w:r w:rsidR="00B83FE7" w:rsidRPr="00AC0422">
        <w:rPr>
          <w:rFonts w:asciiTheme="minorHAnsi" w:hAnsiTheme="minorHAnsi" w:cstheme="minorHAnsi"/>
          <w:szCs w:val="20"/>
        </w:rPr>
        <w:t>A</w:t>
      </w:r>
      <w:r w:rsidR="00C36EC7" w:rsidRPr="00AC0422">
        <w:rPr>
          <w:rFonts w:asciiTheme="minorHAnsi" w:hAnsiTheme="minorHAnsi" w:cstheme="minorHAnsi"/>
          <w:szCs w:val="20"/>
        </w:rPr>
        <w:t>dditional</w:t>
      </w:r>
      <w:r w:rsidR="004D2F82" w:rsidRPr="00AC0422">
        <w:rPr>
          <w:rFonts w:asciiTheme="minorHAnsi" w:hAnsiTheme="minorHAnsi" w:cstheme="minorHAnsi"/>
          <w:szCs w:val="20"/>
        </w:rPr>
        <w:t xml:space="preserve"> M&amp;E requirements </w:t>
      </w:r>
      <w:r w:rsidR="00C36EC7" w:rsidRPr="00AC0422">
        <w:rPr>
          <w:rFonts w:asciiTheme="minorHAnsi" w:hAnsiTheme="minorHAnsi" w:cstheme="minorHAnsi"/>
          <w:szCs w:val="20"/>
        </w:rPr>
        <w:t xml:space="preserve">will be undertaken in accordance with </w:t>
      </w:r>
      <w:r w:rsidRPr="00AC0422">
        <w:rPr>
          <w:rFonts w:asciiTheme="minorHAnsi" w:hAnsiTheme="minorHAnsi" w:cstheme="minorHAnsi"/>
          <w:szCs w:val="20"/>
        </w:rPr>
        <w:t xml:space="preserve">the </w:t>
      </w:r>
      <w:r w:rsidR="005B4E82" w:rsidRPr="00AC0422">
        <w:rPr>
          <w:rStyle w:val="Hyperlink"/>
          <w:rFonts w:asciiTheme="minorHAnsi" w:hAnsiTheme="minorHAnsi" w:cstheme="minorHAnsi"/>
        </w:rPr>
        <w:t>GCF</w:t>
      </w:r>
      <w:r w:rsidR="005B4E82" w:rsidRPr="00AC0422">
        <w:rPr>
          <w:rFonts w:asciiTheme="minorHAnsi" w:hAnsiTheme="minorHAnsi" w:cstheme="minorHAnsi"/>
          <w:szCs w:val="20"/>
        </w:rPr>
        <w:t xml:space="preserve"> </w:t>
      </w:r>
      <w:hyperlink r:id="rId46" w:history="1">
        <w:r w:rsidR="005B4E82" w:rsidRPr="00AC0422">
          <w:rPr>
            <w:rStyle w:val="Hyperlink"/>
            <w:rFonts w:asciiTheme="minorHAnsi" w:hAnsiTheme="minorHAnsi" w:cstheme="minorHAnsi"/>
            <w:szCs w:val="20"/>
          </w:rPr>
          <w:t>initial approach to monitoring and evaluation policy</w:t>
        </w:r>
      </w:hyperlink>
      <w:r w:rsidR="005B4E82" w:rsidRPr="00AC0422">
        <w:rPr>
          <w:rFonts w:asciiTheme="minorHAnsi" w:hAnsiTheme="minorHAnsi" w:cstheme="minorHAnsi"/>
          <w:szCs w:val="20"/>
        </w:rPr>
        <w:t xml:space="preserve"> </w:t>
      </w:r>
      <w:r w:rsidR="004D2F82" w:rsidRPr="00AC0422">
        <w:rPr>
          <w:rStyle w:val="Hyperlink"/>
          <w:rFonts w:asciiTheme="minorHAnsi" w:hAnsiTheme="minorHAnsi" w:cstheme="minorHAnsi"/>
        </w:rPr>
        <w:t xml:space="preserve">and </w:t>
      </w:r>
      <w:r w:rsidR="00B83FE7" w:rsidRPr="00AC0422">
        <w:rPr>
          <w:rStyle w:val="Hyperlink"/>
          <w:rFonts w:asciiTheme="minorHAnsi" w:hAnsiTheme="minorHAnsi" w:cstheme="minorHAnsi"/>
        </w:rPr>
        <w:t xml:space="preserve">other </w:t>
      </w:r>
      <w:hyperlink r:id="rId47" w:history="1">
        <w:r w:rsidR="00B83FE7" w:rsidRPr="00AC0422">
          <w:rPr>
            <w:rStyle w:val="Hyperlink"/>
            <w:rFonts w:asciiTheme="minorHAnsi" w:hAnsiTheme="minorHAnsi" w:cstheme="minorHAnsi"/>
            <w:szCs w:val="20"/>
          </w:rPr>
          <w:t xml:space="preserve">relevant </w:t>
        </w:r>
        <w:r w:rsidRPr="00AC0422">
          <w:rPr>
            <w:rStyle w:val="Hyperlink"/>
            <w:rFonts w:asciiTheme="minorHAnsi" w:hAnsiTheme="minorHAnsi" w:cstheme="minorHAnsi"/>
            <w:szCs w:val="20"/>
          </w:rPr>
          <w:t>G</w:t>
        </w:r>
        <w:r w:rsidR="005B4E82" w:rsidRPr="00AC0422">
          <w:rPr>
            <w:rStyle w:val="Hyperlink"/>
            <w:rFonts w:asciiTheme="minorHAnsi" w:hAnsiTheme="minorHAnsi" w:cstheme="minorHAnsi"/>
            <w:szCs w:val="20"/>
          </w:rPr>
          <w:t>CF</w:t>
        </w:r>
        <w:r w:rsidRPr="00AC0422">
          <w:rPr>
            <w:rStyle w:val="Hyperlink"/>
            <w:rFonts w:asciiTheme="minorHAnsi" w:hAnsiTheme="minorHAnsi" w:cstheme="minorHAnsi"/>
            <w:szCs w:val="20"/>
          </w:rPr>
          <w:t xml:space="preserve"> </w:t>
        </w:r>
        <w:r w:rsidR="00B83FE7" w:rsidRPr="00AC0422">
          <w:rPr>
            <w:rStyle w:val="Hyperlink"/>
            <w:rFonts w:asciiTheme="minorHAnsi" w:hAnsiTheme="minorHAnsi" w:cstheme="minorHAnsi"/>
            <w:szCs w:val="20"/>
          </w:rPr>
          <w:t>policies</w:t>
        </w:r>
      </w:hyperlink>
      <w:r w:rsidR="00941466" w:rsidRPr="00AC0422">
        <w:rPr>
          <w:rFonts w:asciiTheme="minorHAnsi" w:hAnsiTheme="minorHAnsi" w:cstheme="minorHAnsi"/>
          <w:szCs w:val="20"/>
        </w:rPr>
        <w:t xml:space="preserve">. </w:t>
      </w:r>
    </w:p>
    <w:p w14:paraId="072AFA6A" w14:textId="64EC6C84" w:rsidR="00BC1B09" w:rsidRPr="00AC0422" w:rsidRDefault="00BC1B09" w:rsidP="001354E3">
      <w:pPr>
        <w:spacing w:after="0"/>
        <w:jc w:val="left"/>
        <w:rPr>
          <w:rFonts w:asciiTheme="minorHAnsi" w:hAnsiTheme="minorHAnsi" w:cstheme="minorHAnsi"/>
          <w:szCs w:val="20"/>
        </w:rPr>
      </w:pPr>
    </w:p>
    <w:p w14:paraId="16D55781" w14:textId="7CC9F6BE" w:rsidR="00243D31" w:rsidRPr="00AC0422" w:rsidRDefault="00941466" w:rsidP="001354E3">
      <w:pPr>
        <w:spacing w:after="0"/>
        <w:jc w:val="left"/>
        <w:rPr>
          <w:rFonts w:asciiTheme="minorHAnsi" w:hAnsiTheme="minorHAnsi" w:cstheme="minorHAnsi"/>
          <w:szCs w:val="20"/>
        </w:rPr>
      </w:pPr>
      <w:r w:rsidRPr="00AC0422">
        <w:rPr>
          <w:rFonts w:asciiTheme="minorHAnsi" w:hAnsiTheme="minorHAnsi" w:cstheme="minorHAnsi"/>
          <w:szCs w:val="20"/>
        </w:rPr>
        <w:t>In addition to the</w:t>
      </w:r>
      <w:r w:rsidR="00C36EC7" w:rsidRPr="00AC0422">
        <w:rPr>
          <w:rFonts w:asciiTheme="minorHAnsi" w:hAnsiTheme="minorHAnsi" w:cstheme="minorHAnsi"/>
          <w:szCs w:val="20"/>
        </w:rPr>
        <w:t>se</w:t>
      </w:r>
      <w:r w:rsidRPr="00AC0422">
        <w:rPr>
          <w:rFonts w:asciiTheme="minorHAnsi" w:hAnsiTheme="minorHAnsi" w:cstheme="minorHAnsi"/>
          <w:szCs w:val="20"/>
        </w:rPr>
        <w:t xml:space="preserve"> </w:t>
      </w:r>
      <w:r w:rsidR="00C36EC7" w:rsidRPr="00AC0422">
        <w:rPr>
          <w:rFonts w:asciiTheme="minorHAnsi" w:hAnsiTheme="minorHAnsi" w:cstheme="minorHAnsi"/>
          <w:szCs w:val="20"/>
        </w:rPr>
        <w:t xml:space="preserve">mandatory </w:t>
      </w:r>
      <w:r w:rsidRPr="00AC0422">
        <w:rPr>
          <w:rFonts w:asciiTheme="minorHAnsi" w:hAnsiTheme="minorHAnsi" w:cstheme="minorHAnsi"/>
          <w:szCs w:val="20"/>
        </w:rPr>
        <w:t xml:space="preserve">UNDP </w:t>
      </w:r>
      <w:r w:rsidR="00C36EC7" w:rsidRPr="00AC0422">
        <w:rPr>
          <w:rFonts w:asciiTheme="minorHAnsi" w:hAnsiTheme="minorHAnsi" w:cstheme="minorHAnsi"/>
          <w:szCs w:val="20"/>
        </w:rPr>
        <w:t>and G</w:t>
      </w:r>
      <w:r w:rsidR="001B0A39" w:rsidRPr="00AC0422">
        <w:rPr>
          <w:rFonts w:asciiTheme="minorHAnsi" w:hAnsiTheme="minorHAnsi" w:cstheme="minorHAnsi"/>
          <w:szCs w:val="20"/>
        </w:rPr>
        <w:t>C</w:t>
      </w:r>
      <w:r w:rsidR="00C36EC7" w:rsidRPr="00AC0422">
        <w:rPr>
          <w:rFonts w:asciiTheme="minorHAnsi" w:hAnsiTheme="minorHAnsi" w:cstheme="minorHAnsi"/>
          <w:szCs w:val="20"/>
        </w:rPr>
        <w:t xml:space="preserve">F </w:t>
      </w:r>
      <w:r w:rsidRPr="00AC0422">
        <w:rPr>
          <w:rFonts w:asciiTheme="minorHAnsi" w:hAnsiTheme="minorHAnsi" w:cstheme="minorHAnsi"/>
          <w:szCs w:val="20"/>
        </w:rPr>
        <w:t>M&amp;E requirements</w:t>
      </w:r>
      <w:r w:rsidR="00C36EC7" w:rsidRPr="00AC0422">
        <w:rPr>
          <w:rFonts w:asciiTheme="minorHAnsi" w:hAnsiTheme="minorHAnsi" w:cstheme="minorHAnsi"/>
          <w:szCs w:val="20"/>
        </w:rPr>
        <w:t>, other</w:t>
      </w:r>
      <w:r w:rsidRPr="00AC0422">
        <w:rPr>
          <w:rFonts w:asciiTheme="minorHAnsi" w:hAnsiTheme="minorHAnsi" w:cstheme="minorHAnsi"/>
          <w:szCs w:val="20"/>
        </w:rPr>
        <w:t xml:space="preserve"> </w:t>
      </w:r>
      <w:r w:rsidR="0053408E" w:rsidRPr="00AC0422">
        <w:rPr>
          <w:rFonts w:asciiTheme="minorHAnsi" w:hAnsiTheme="minorHAnsi" w:cstheme="minorHAnsi"/>
          <w:szCs w:val="20"/>
        </w:rPr>
        <w:t xml:space="preserve">M&amp;E </w:t>
      </w:r>
      <w:r w:rsidRPr="00AC0422">
        <w:rPr>
          <w:rFonts w:asciiTheme="minorHAnsi" w:hAnsiTheme="minorHAnsi" w:cstheme="minorHAnsi"/>
          <w:szCs w:val="20"/>
        </w:rPr>
        <w:t>a</w:t>
      </w:r>
      <w:r w:rsidR="0053408E" w:rsidRPr="00AC0422">
        <w:rPr>
          <w:rFonts w:asciiTheme="minorHAnsi" w:hAnsiTheme="minorHAnsi" w:cstheme="minorHAnsi"/>
          <w:szCs w:val="20"/>
        </w:rPr>
        <w:t>ctivities deemed necessary to support project-level adaptive management</w:t>
      </w:r>
      <w:r w:rsidR="00BC1B09" w:rsidRPr="00AC0422">
        <w:rPr>
          <w:rFonts w:asciiTheme="minorHAnsi" w:hAnsiTheme="minorHAnsi" w:cstheme="minorHAnsi"/>
          <w:szCs w:val="20"/>
        </w:rPr>
        <w:t xml:space="preserve"> will be </w:t>
      </w:r>
      <w:r w:rsidR="008071BF" w:rsidRPr="00AC0422">
        <w:rPr>
          <w:rFonts w:asciiTheme="minorHAnsi" w:hAnsiTheme="minorHAnsi" w:cstheme="minorHAnsi"/>
          <w:szCs w:val="20"/>
        </w:rPr>
        <w:t>agreed</w:t>
      </w:r>
      <w:r w:rsidR="00BC1B09" w:rsidRPr="00AC0422">
        <w:rPr>
          <w:rFonts w:asciiTheme="minorHAnsi" w:hAnsiTheme="minorHAnsi" w:cstheme="minorHAnsi"/>
          <w:szCs w:val="20"/>
        </w:rPr>
        <w:t xml:space="preserve"> during the</w:t>
      </w:r>
      <w:r w:rsidR="00E804FD" w:rsidRPr="00AC0422">
        <w:rPr>
          <w:rFonts w:asciiTheme="minorHAnsi" w:hAnsiTheme="minorHAnsi" w:cstheme="minorHAnsi"/>
          <w:szCs w:val="20"/>
        </w:rPr>
        <w:t xml:space="preserve"> Project</w:t>
      </w:r>
      <w:r w:rsidR="00BC1B09" w:rsidRPr="00AC0422">
        <w:rPr>
          <w:rFonts w:asciiTheme="minorHAnsi" w:hAnsiTheme="minorHAnsi" w:cstheme="minorHAnsi"/>
          <w:szCs w:val="20"/>
        </w:rPr>
        <w:t xml:space="preserve"> Inception Workshop and will be detailed in the Inception Report. </w:t>
      </w:r>
    </w:p>
    <w:p w14:paraId="6B0BD6D9" w14:textId="52B856C1" w:rsidR="00FA069F" w:rsidRPr="00AC0422" w:rsidRDefault="00FA069F" w:rsidP="001354E3">
      <w:pPr>
        <w:spacing w:after="0"/>
        <w:jc w:val="left"/>
        <w:rPr>
          <w:rFonts w:asciiTheme="minorHAnsi" w:hAnsiTheme="minorHAnsi" w:cstheme="minorHAnsi"/>
          <w:szCs w:val="20"/>
        </w:rPr>
      </w:pPr>
    </w:p>
    <w:p w14:paraId="762C433C" w14:textId="67290DE5" w:rsidR="00FA069F" w:rsidRPr="00AC0422" w:rsidRDefault="00FA069F" w:rsidP="79E63765">
      <w:pPr>
        <w:rPr>
          <w:rFonts w:asciiTheme="minorHAnsi" w:hAnsiTheme="minorHAnsi" w:cstheme="minorHAnsi"/>
          <w:b/>
          <w:bCs/>
        </w:rPr>
      </w:pPr>
      <w:r w:rsidRPr="00AC0422">
        <w:rPr>
          <w:rFonts w:asciiTheme="minorHAnsi" w:hAnsiTheme="minorHAnsi" w:cstheme="minorHAnsi"/>
          <w:b/>
          <w:bCs/>
        </w:rPr>
        <w:t>M&amp;E oversight and monitoring responsibilities:</w:t>
      </w:r>
      <w:r w:rsidR="01ACD96D" w:rsidRPr="00AC0422">
        <w:rPr>
          <w:rFonts w:asciiTheme="minorHAnsi" w:hAnsiTheme="minorHAnsi" w:cstheme="minorHAnsi"/>
          <w:b/>
          <w:bCs/>
        </w:rPr>
        <w:t xml:space="preserve"> </w:t>
      </w:r>
    </w:p>
    <w:p w14:paraId="470FEB2B" w14:textId="77777777" w:rsidR="00FA069F" w:rsidRPr="00AC0422" w:rsidRDefault="00FA069F" w:rsidP="00FA069F">
      <w:pPr>
        <w:rPr>
          <w:rFonts w:asciiTheme="minorHAnsi" w:hAnsiTheme="minorHAnsi" w:cstheme="minorHAnsi"/>
          <w:szCs w:val="20"/>
          <w:u w:val="single"/>
        </w:rPr>
      </w:pPr>
    </w:p>
    <w:p w14:paraId="2685EEE3" w14:textId="71017A3C" w:rsidR="00FA069F" w:rsidRPr="00AC0422" w:rsidRDefault="00FA069F" w:rsidP="00DA5FA3">
      <w:pPr>
        <w:rPr>
          <w:rFonts w:asciiTheme="minorHAnsi" w:hAnsiTheme="minorHAnsi" w:cstheme="minorHAnsi"/>
          <w:szCs w:val="20"/>
        </w:rPr>
      </w:pPr>
      <w:r w:rsidRPr="00AC0422">
        <w:rPr>
          <w:rFonts w:asciiTheme="minorHAnsi" w:hAnsiTheme="minorHAnsi" w:cstheme="minorHAnsi"/>
          <w:szCs w:val="20"/>
          <w:u w:val="single"/>
        </w:rPr>
        <w:t>Project Manager:</w:t>
      </w:r>
      <w:r w:rsidRPr="00AC0422">
        <w:rPr>
          <w:rFonts w:asciiTheme="minorHAnsi" w:hAnsiTheme="minorHAnsi" w:cstheme="minorHAnsi"/>
          <w:szCs w:val="20"/>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w:t>
      </w:r>
      <w:r w:rsidR="00DA5FA3" w:rsidRPr="00AC0422">
        <w:rPr>
          <w:rFonts w:asciiTheme="minorHAnsi" w:hAnsiTheme="minorHAnsi" w:cstheme="minorHAnsi"/>
          <w:szCs w:val="20"/>
        </w:rPr>
        <w:t xml:space="preserve">UNDP-Climate Hub </w:t>
      </w:r>
      <w:r w:rsidRPr="00AC0422">
        <w:rPr>
          <w:rFonts w:asciiTheme="minorHAnsi" w:hAnsiTheme="minorHAnsi" w:cstheme="minorHAnsi"/>
          <w:szCs w:val="20"/>
        </w:rPr>
        <w:t xml:space="preserve">Regional Technical Advisor of any delays or difficulties as they arise during implementation so that appropriate support and corrective measures can be adopted. </w:t>
      </w:r>
    </w:p>
    <w:p w14:paraId="1C9FD48F" w14:textId="0D805493" w:rsidR="00DA5FA3" w:rsidRPr="00AC0422" w:rsidRDefault="00DA5FA3" w:rsidP="00DA5FA3">
      <w:pPr>
        <w:spacing w:before="120" w:after="120"/>
        <w:rPr>
          <w:rFonts w:asciiTheme="minorHAnsi" w:hAnsiTheme="minorHAnsi" w:cstheme="minorHAnsi"/>
          <w:szCs w:val="20"/>
        </w:rPr>
      </w:pPr>
      <w:r w:rsidRPr="00AC0422">
        <w:rPr>
          <w:rFonts w:asciiTheme="minorHAnsi" w:hAnsiTheme="minorHAnsi" w:cstheme="minorHAnsi"/>
          <w:szCs w:val="20"/>
        </w:rPr>
        <w:t xml:space="preserve">The Project Manager will develop annual work plans to support the efficient implementation of the project. The Project Manager will ensure that the standard UNDP and GCF M&amp;E requirements are fulfilled to the highest quality. This includes, but is not limited to, ensuring the results framework indicators are monitored annually in time for evidence-based reporting in the Annual Project Report, and that the monitoring of risks </w:t>
      </w:r>
      <w:r w:rsidR="00492E2D" w:rsidRPr="00AC0422">
        <w:rPr>
          <w:rFonts w:asciiTheme="minorHAnsi" w:hAnsiTheme="minorHAnsi" w:cstheme="minorHAnsi"/>
          <w:szCs w:val="20"/>
        </w:rPr>
        <w:t>occurs</w:t>
      </w:r>
      <w:r w:rsidRPr="00AC0422">
        <w:rPr>
          <w:rFonts w:asciiTheme="minorHAnsi" w:hAnsiTheme="minorHAnsi" w:cstheme="minorHAnsi"/>
          <w:szCs w:val="20"/>
        </w:rPr>
        <w:t xml:space="preserve"> on a regular basis.  </w:t>
      </w:r>
    </w:p>
    <w:p w14:paraId="1FFFBC62" w14:textId="77777777" w:rsidR="00FA069F" w:rsidRPr="00AC0422" w:rsidRDefault="00FA069F" w:rsidP="00FA069F">
      <w:pPr>
        <w:spacing w:after="0"/>
        <w:rPr>
          <w:rFonts w:asciiTheme="minorHAnsi" w:hAnsiTheme="minorHAnsi" w:cstheme="minorHAnsi"/>
          <w:szCs w:val="20"/>
        </w:rPr>
      </w:pPr>
    </w:p>
    <w:p w14:paraId="30EAC51C" w14:textId="31B93B31" w:rsidR="00FA069F" w:rsidRPr="00AC0422" w:rsidRDefault="00FA069F" w:rsidP="00FA069F">
      <w:pPr>
        <w:rPr>
          <w:rFonts w:asciiTheme="minorHAnsi" w:hAnsiTheme="minorHAnsi" w:cstheme="minorHAnsi"/>
          <w:szCs w:val="20"/>
        </w:rPr>
      </w:pPr>
      <w:r w:rsidRPr="00AC0422">
        <w:rPr>
          <w:rFonts w:asciiTheme="minorHAnsi" w:hAnsiTheme="minorHAnsi" w:cstheme="minorHAnsi"/>
          <w:szCs w:val="20"/>
          <w:u w:val="single"/>
        </w:rPr>
        <w:t>Project Board:</w:t>
      </w:r>
      <w:r w:rsidRPr="00AC0422">
        <w:rPr>
          <w:rFonts w:asciiTheme="minorHAnsi" w:hAnsiTheme="minorHAnsi" w:cstheme="minorHAnsi"/>
          <w:szCs w:val="20"/>
        </w:rPr>
        <w:t xml:space="preserve">  </w:t>
      </w:r>
      <w:r w:rsidR="00DA5FA3" w:rsidRPr="00AC0422">
        <w:rPr>
          <w:rFonts w:asciiTheme="minorHAnsi" w:hAnsiTheme="minorHAnsi" w:cstheme="minorHAnsi"/>
          <w:szCs w:val="20"/>
        </w:rPr>
        <w:t>The Project Board will take corrective action as needed to ensure the project achieves the desired results. The Project Board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completion report.</w:t>
      </w:r>
    </w:p>
    <w:p w14:paraId="39987DEB" w14:textId="77777777" w:rsidR="00FA069F" w:rsidRPr="00AC0422" w:rsidRDefault="00FA069F" w:rsidP="00FA069F">
      <w:pPr>
        <w:spacing w:after="0"/>
        <w:jc w:val="left"/>
        <w:rPr>
          <w:rFonts w:asciiTheme="minorHAnsi" w:hAnsiTheme="minorHAnsi" w:cstheme="minorHAnsi"/>
          <w:szCs w:val="20"/>
        </w:rPr>
      </w:pPr>
    </w:p>
    <w:p w14:paraId="2A23636F" w14:textId="2489B441" w:rsidR="00FA069F" w:rsidRPr="00AC0422" w:rsidRDefault="00FA069F" w:rsidP="00FA069F">
      <w:pPr>
        <w:rPr>
          <w:rFonts w:asciiTheme="minorHAnsi" w:hAnsiTheme="minorHAnsi" w:cstheme="minorHAnsi"/>
          <w:szCs w:val="20"/>
        </w:rPr>
      </w:pPr>
      <w:r w:rsidRPr="00AC0422">
        <w:rPr>
          <w:rFonts w:asciiTheme="minorHAnsi" w:hAnsiTheme="minorHAnsi" w:cstheme="minorHAnsi"/>
          <w:szCs w:val="20"/>
          <w:u w:val="single"/>
        </w:rPr>
        <w:t>Project Implementing Partner:</w:t>
      </w:r>
      <w:r w:rsidRPr="00AC0422">
        <w:rPr>
          <w:rFonts w:asciiTheme="minorHAnsi" w:hAnsiTheme="minorHAnsi" w:cstheme="minorHAnsi"/>
          <w:szCs w:val="20"/>
        </w:rPr>
        <w:t xml:space="preserve"> </w:t>
      </w:r>
      <w:r w:rsidR="006B0116" w:rsidRPr="00AC0422">
        <w:rPr>
          <w:rFonts w:asciiTheme="minorHAnsi" w:hAnsiTheme="minorHAnsi" w:cstheme="minorHAnsi"/>
          <w:color w:val="000000" w:themeColor="text1"/>
          <w:szCs w:val="20"/>
        </w:rPr>
        <w:t xml:space="preserve">UNDP will initiate and organize key M&amp;E activities including the Annual Project Report and the end-of-project workshop and report. UNDP will also ensure that the standard UNDP and GCF M&amp;E requirements are fulfilled to the highest quality. </w:t>
      </w:r>
      <w:r w:rsidRPr="00AC0422">
        <w:rPr>
          <w:rFonts w:asciiTheme="minorHAnsi" w:hAnsiTheme="minorHAnsi" w:cstheme="minorHAnsi"/>
          <w:szCs w:val="20"/>
        </w:rPr>
        <w:t xml:space="preserve">The UNDP CO, as the Implementing Partner for the project, is responsible for providing all required information and data necessary for timely, comprehensive and evidence-based project reporting, including results and financial data, as necessary and appropriate. The UNDP CO will strive to ensure project-level M&amp;E is undertaken </w:t>
      </w:r>
      <w:r w:rsidR="00492E2D" w:rsidRPr="00AC0422">
        <w:rPr>
          <w:rFonts w:asciiTheme="minorHAnsi" w:hAnsiTheme="minorHAnsi" w:cstheme="minorHAnsi"/>
          <w:szCs w:val="20"/>
        </w:rPr>
        <w:t>effectively and</w:t>
      </w:r>
      <w:r w:rsidRPr="00AC0422">
        <w:rPr>
          <w:rFonts w:asciiTheme="minorHAnsi" w:hAnsiTheme="minorHAnsi" w:cstheme="minorHAnsi"/>
          <w:szCs w:val="20"/>
        </w:rPr>
        <w:t xml:space="preserve"> is aligned with national systems so that the data used by and generated by the project supports national systems. </w:t>
      </w:r>
    </w:p>
    <w:p w14:paraId="2AAA629B" w14:textId="77777777" w:rsidR="00FA069F" w:rsidRPr="00AC0422" w:rsidRDefault="00FA069F" w:rsidP="00FA069F">
      <w:pPr>
        <w:spacing w:after="0"/>
        <w:jc w:val="left"/>
        <w:rPr>
          <w:rFonts w:asciiTheme="minorHAnsi" w:hAnsiTheme="minorHAnsi" w:cstheme="minorHAnsi"/>
          <w:szCs w:val="20"/>
          <w:u w:val="single"/>
        </w:rPr>
      </w:pPr>
    </w:p>
    <w:p w14:paraId="6595A082" w14:textId="33D32E2D" w:rsidR="00FA069F" w:rsidRPr="00AC0422" w:rsidRDefault="00FA069F" w:rsidP="79E63765">
      <w:pPr>
        <w:rPr>
          <w:rFonts w:asciiTheme="minorHAnsi" w:hAnsiTheme="minorHAnsi" w:cstheme="minorHAnsi"/>
        </w:rPr>
      </w:pPr>
      <w:r w:rsidRPr="00AC0422">
        <w:rPr>
          <w:rFonts w:asciiTheme="minorHAnsi" w:hAnsiTheme="minorHAnsi" w:cstheme="minorHAnsi"/>
          <w:u w:val="single"/>
        </w:rPr>
        <w:t>UNDP Country Office:</w:t>
      </w:r>
      <w:r w:rsidRPr="00AC0422">
        <w:rPr>
          <w:rFonts w:asciiTheme="minorHAnsi" w:hAnsiTheme="minorHAnsi" w:cstheme="minorHAnsi"/>
        </w:rPr>
        <w:t xml:space="preserve">  </w:t>
      </w:r>
      <w:r w:rsidR="00DA5FA3" w:rsidRPr="00AC0422">
        <w:rPr>
          <w:rFonts w:asciiTheme="minorHAnsi" w:hAnsiTheme="minorHAnsi" w:cstheme="minorHAnsi"/>
          <w:szCs w:val="20"/>
        </w:rPr>
        <w:t xml:space="preserve">The UNDP Country Office will support the Project Manager as needed, including through annual supervision missions. The annual supervision missions will take place according to the schedule outlined in the annual work plan. Supervision mission reports will be circulated to the project team and Project Board within one month of the mission. The UNDP Country Office will initiate and organize key M&amp;E activities including the Annual Project Report, project final assessment. The UNDP Country Office will also ensure that the standard UNDP and GCF M&amp;E requirements are fulfilled to the highest quality.  </w:t>
      </w:r>
    </w:p>
    <w:p w14:paraId="383B9104" w14:textId="77777777" w:rsidR="00FA069F" w:rsidRPr="00AC0422" w:rsidRDefault="00FA069F" w:rsidP="00FA069F">
      <w:pPr>
        <w:spacing w:after="0"/>
        <w:jc w:val="left"/>
        <w:rPr>
          <w:rFonts w:asciiTheme="minorHAnsi" w:hAnsiTheme="minorHAnsi" w:cstheme="minorHAnsi"/>
          <w:szCs w:val="20"/>
        </w:rPr>
      </w:pPr>
    </w:p>
    <w:p w14:paraId="60370E9C" w14:textId="47C8ED96" w:rsidR="00FA069F" w:rsidRPr="00AC0422" w:rsidRDefault="00FA069F" w:rsidP="00FA069F">
      <w:pPr>
        <w:spacing w:after="0"/>
        <w:rPr>
          <w:rStyle w:val="Hyperlink"/>
          <w:rFonts w:asciiTheme="minorHAnsi" w:hAnsiTheme="minorHAnsi" w:cstheme="minorHAnsi"/>
          <w:color w:val="auto"/>
          <w:szCs w:val="20"/>
          <w:u w:val="none"/>
        </w:rPr>
      </w:pPr>
      <w:r w:rsidRPr="00AC0422">
        <w:rPr>
          <w:rFonts w:asciiTheme="minorHAnsi" w:hAnsiTheme="minorHAnsi" w:cstheme="minorHAnsi"/>
          <w:szCs w:val="20"/>
        </w:rPr>
        <w:lastRenderedPageBreak/>
        <w:t xml:space="preserve">The UNDP Country Office is responsible for complying with all UNDP project-level M&amp;E requirements as outlined in the </w:t>
      </w:r>
      <w:hyperlink r:id="rId48" w:history="1">
        <w:r w:rsidRPr="00AC0422">
          <w:rPr>
            <w:rStyle w:val="Hyperlink"/>
            <w:rFonts w:asciiTheme="minorHAnsi" w:hAnsiTheme="minorHAnsi" w:cstheme="minorHAnsi"/>
            <w:szCs w:val="20"/>
          </w:rPr>
          <w:t>UNDP POPP</w:t>
        </w:r>
      </w:hyperlink>
      <w:r w:rsidRPr="00AC0422">
        <w:rPr>
          <w:rStyle w:val="Hyperlink"/>
          <w:rFonts w:asciiTheme="minorHAnsi" w:hAnsiTheme="minorHAnsi" w:cstheme="minorHAnsi"/>
          <w:szCs w:val="20"/>
        </w:rPr>
        <w:t>.</w:t>
      </w:r>
      <w:r w:rsidRPr="00AC0422">
        <w:rPr>
          <w:rStyle w:val="Hyperlink"/>
          <w:rFonts w:asciiTheme="minorHAnsi" w:hAnsiTheme="minorHAnsi" w:cstheme="minorHAnsi"/>
          <w:szCs w:val="20"/>
          <w:u w:val="none"/>
        </w:rPr>
        <w:t xml:space="preserve"> </w:t>
      </w:r>
      <w:r w:rsidRPr="00AC0422">
        <w:rPr>
          <w:rStyle w:val="Hyperlink"/>
          <w:rFonts w:asciiTheme="minorHAnsi" w:hAnsiTheme="minorHAnsi" w:cstheme="minorHAnsi"/>
          <w:color w:val="auto"/>
          <w:szCs w:val="20"/>
          <w:u w:val="none"/>
        </w:rPr>
        <w:t xml:space="preserve">This includes ensuring the UNDP Quality Assurance Assessment during implementation is undertaken annually; the regular updating of the </w:t>
      </w:r>
      <w:r w:rsidR="00E66765" w:rsidRPr="00AC0422">
        <w:rPr>
          <w:rStyle w:val="Hyperlink"/>
          <w:rFonts w:asciiTheme="minorHAnsi" w:hAnsiTheme="minorHAnsi" w:cstheme="minorHAnsi"/>
          <w:color w:val="auto"/>
          <w:szCs w:val="20"/>
          <w:u w:val="none"/>
        </w:rPr>
        <w:t xml:space="preserve">Quantum </w:t>
      </w:r>
      <w:r w:rsidRPr="00AC0422">
        <w:rPr>
          <w:rStyle w:val="Hyperlink"/>
          <w:rFonts w:asciiTheme="minorHAnsi" w:hAnsiTheme="minorHAnsi" w:cstheme="minorHAnsi"/>
          <w:color w:val="auto"/>
          <w:szCs w:val="20"/>
          <w:u w:val="none"/>
        </w:rPr>
        <w:t xml:space="preserve">risk log; and, the updating of the UNDP gender marker on an annual basis based on gender mainstreaming progress reported in the </w:t>
      </w:r>
      <w:r w:rsidRPr="00AC0422">
        <w:rPr>
          <w:rFonts w:asciiTheme="minorHAnsi" w:hAnsiTheme="minorHAnsi" w:cstheme="minorHAnsi"/>
        </w:rPr>
        <w:t xml:space="preserve">Annual Project Report </w:t>
      </w:r>
      <w:r w:rsidRPr="00AC0422">
        <w:rPr>
          <w:rStyle w:val="Hyperlink"/>
          <w:rFonts w:asciiTheme="minorHAnsi" w:hAnsiTheme="minorHAnsi" w:cstheme="minorHAnsi"/>
          <w:color w:val="auto"/>
          <w:szCs w:val="20"/>
          <w:u w:val="none"/>
        </w:rPr>
        <w:t xml:space="preserve">and the UNDP ROAR. Any quality concerns flagged during these M&amp;E activities (e.g. </w:t>
      </w:r>
      <w:r w:rsidRPr="00AC0422">
        <w:rPr>
          <w:rFonts w:asciiTheme="minorHAnsi" w:hAnsiTheme="minorHAnsi" w:cstheme="minorHAnsi"/>
        </w:rPr>
        <w:t xml:space="preserve">Annual Project Report </w:t>
      </w:r>
      <w:r w:rsidRPr="00AC0422">
        <w:rPr>
          <w:rStyle w:val="Hyperlink"/>
          <w:rFonts w:asciiTheme="minorHAnsi" w:hAnsiTheme="minorHAnsi" w:cstheme="minorHAnsi"/>
          <w:color w:val="auto"/>
          <w:szCs w:val="20"/>
          <w:u w:val="none"/>
        </w:rPr>
        <w:t xml:space="preserve">quality assessment ratings) must be addressed by the UNDP Country Office and the Project Manager.  </w:t>
      </w:r>
    </w:p>
    <w:p w14:paraId="3B384D71" w14:textId="77777777" w:rsidR="00FA069F" w:rsidRPr="00AC0422" w:rsidRDefault="00FA069F" w:rsidP="00FA069F">
      <w:pPr>
        <w:spacing w:after="0"/>
        <w:rPr>
          <w:rFonts w:asciiTheme="minorHAnsi" w:hAnsiTheme="minorHAnsi" w:cstheme="minorHAnsi"/>
          <w:szCs w:val="20"/>
        </w:rPr>
      </w:pPr>
    </w:p>
    <w:p w14:paraId="79FFA890" w14:textId="77777777" w:rsidR="00FA069F" w:rsidRPr="00AC0422" w:rsidRDefault="00FA069F" w:rsidP="00FA069F">
      <w:pPr>
        <w:spacing w:after="0"/>
        <w:rPr>
          <w:rFonts w:asciiTheme="minorHAnsi" w:hAnsiTheme="minorHAnsi" w:cstheme="minorHAnsi"/>
          <w:szCs w:val="20"/>
        </w:rPr>
      </w:pPr>
      <w:r w:rsidRPr="00AC0422">
        <w:rPr>
          <w:rFonts w:asciiTheme="minorHAnsi" w:hAnsiTheme="minorHAnsi" w:cstheme="minorHAnsi"/>
          <w:szCs w:val="20"/>
        </w:rPr>
        <w:t xml:space="preserve">The UNDP Country Office will support GCF staff (or their designate) during any missions undertaken in the country and support any ad-hoc checks or ex post evaluations that may be required by the GCF. </w:t>
      </w:r>
    </w:p>
    <w:p w14:paraId="5FF28536" w14:textId="77777777" w:rsidR="00FA069F" w:rsidRPr="00AC0422" w:rsidRDefault="00FA069F" w:rsidP="00FA069F">
      <w:pPr>
        <w:spacing w:after="0"/>
        <w:rPr>
          <w:rFonts w:asciiTheme="minorHAnsi" w:hAnsiTheme="minorHAnsi" w:cstheme="minorHAnsi"/>
          <w:szCs w:val="20"/>
        </w:rPr>
      </w:pPr>
    </w:p>
    <w:p w14:paraId="75ED4DD8" w14:textId="77777777" w:rsidR="00FA069F" w:rsidRPr="00AC0422" w:rsidRDefault="00FA069F" w:rsidP="00FA069F">
      <w:pPr>
        <w:spacing w:after="0"/>
        <w:rPr>
          <w:rFonts w:asciiTheme="minorHAnsi" w:hAnsiTheme="minorHAnsi" w:cstheme="minorHAnsi"/>
          <w:szCs w:val="20"/>
        </w:rPr>
      </w:pPr>
      <w:r w:rsidRPr="00AC0422">
        <w:rPr>
          <w:rFonts w:asciiTheme="minorHAnsi" w:hAnsiTheme="minorHAnsi" w:cstheme="minorHAnsi"/>
          <w:szCs w:val="20"/>
        </w:rPr>
        <w:t xml:space="preserve">The UNDP Country Office will retain all project records for this project for up to seven years after project financial closure in order to support any ex-post reviews and evaluations undertaken by the UNDP Independent Evaluation Office (IEO) and/or the GCF.  </w:t>
      </w:r>
    </w:p>
    <w:p w14:paraId="2BD04085" w14:textId="77777777" w:rsidR="00FA069F" w:rsidRPr="00AC0422" w:rsidRDefault="00FA069F" w:rsidP="00FA069F">
      <w:pPr>
        <w:spacing w:after="0"/>
        <w:rPr>
          <w:rStyle w:val="Hyperlink"/>
          <w:rFonts w:asciiTheme="minorHAnsi" w:hAnsiTheme="minorHAnsi" w:cstheme="minorHAnsi"/>
          <w:color w:val="auto"/>
          <w:szCs w:val="20"/>
          <w:u w:val="none"/>
        </w:rPr>
      </w:pPr>
    </w:p>
    <w:p w14:paraId="4EC1F5ED" w14:textId="77777777" w:rsidR="00DA5FA3" w:rsidRPr="00AC0422" w:rsidRDefault="00DA5FA3" w:rsidP="00DA5FA3">
      <w:pPr>
        <w:spacing w:before="120" w:after="120"/>
        <w:rPr>
          <w:rFonts w:asciiTheme="minorHAnsi" w:hAnsiTheme="minorHAnsi" w:cstheme="minorHAnsi"/>
          <w:szCs w:val="20"/>
        </w:rPr>
      </w:pPr>
      <w:r w:rsidRPr="00AC0422">
        <w:rPr>
          <w:rFonts w:asciiTheme="minorHAnsi" w:hAnsiTheme="minorHAnsi" w:cstheme="minorHAnsi"/>
          <w:szCs w:val="20"/>
          <w:u w:val="single"/>
        </w:rPr>
        <w:t>UNDP - Climate Hub:</w:t>
      </w:r>
      <w:r w:rsidRPr="00AC0422">
        <w:rPr>
          <w:rFonts w:asciiTheme="minorHAnsi" w:hAnsiTheme="minorHAnsi" w:cstheme="minorHAnsi"/>
          <w:szCs w:val="20"/>
        </w:rPr>
        <w:t xml:space="preserve">  Additional M&amp;E and implementation oversight, quality assurance and troubleshooting support will be provided by the UNDP-Climate Hub Regional Technical Advisor and the UNDP-VF Oversight and Compliance Unit as needed.</w:t>
      </w:r>
    </w:p>
    <w:p w14:paraId="60DA2FB1" w14:textId="77777777" w:rsidR="00812AEC" w:rsidRPr="00AC0422" w:rsidRDefault="00812AEC" w:rsidP="00812AEC">
      <w:pPr>
        <w:spacing w:after="0"/>
        <w:jc w:val="left"/>
        <w:rPr>
          <w:rFonts w:asciiTheme="minorHAnsi" w:hAnsiTheme="minorHAnsi" w:cstheme="minorHAnsi"/>
          <w:b/>
          <w:szCs w:val="20"/>
        </w:rPr>
      </w:pPr>
    </w:p>
    <w:p w14:paraId="2FED5850" w14:textId="1F13D733" w:rsidR="00812AEC" w:rsidRPr="00AC0422" w:rsidRDefault="00812AEC" w:rsidP="00812AEC">
      <w:pPr>
        <w:spacing w:after="0"/>
        <w:jc w:val="left"/>
        <w:rPr>
          <w:rFonts w:asciiTheme="minorHAnsi" w:hAnsiTheme="minorHAnsi" w:cstheme="minorHAnsi"/>
          <w:b/>
          <w:szCs w:val="20"/>
        </w:rPr>
      </w:pPr>
      <w:r w:rsidRPr="00AC0422">
        <w:rPr>
          <w:rFonts w:asciiTheme="minorHAnsi" w:hAnsiTheme="minorHAnsi" w:cstheme="minorHAnsi"/>
          <w:b/>
          <w:szCs w:val="20"/>
        </w:rPr>
        <w:t>Additional GCF monitoring and reporting requirements:</w:t>
      </w:r>
    </w:p>
    <w:p w14:paraId="3F61C696" w14:textId="77777777" w:rsidR="00812AEC" w:rsidRPr="00AC0422" w:rsidRDefault="00812AEC" w:rsidP="00812AEC">
      <w:pPr>
        <w:spacing w:after="0"/>
        <w:jc w:val="left"/>
        <w:rPr>
          <w:rFonts w:asciiTheme="minorHAnsi" w:hAnsiTheme="minorHAnsi" w:cstheme="minorHAnsi"/>
          <w:szCs w:val="20"/>
          <w:u w:val="single"/>
        </w:rPr>
      </w:pPr>
    </w:p>
    <w:p w14:paraId="71979C04"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u w:val="single"/>
        </w:rPr>
        <w:t>Inception Workshop and Report:</w:t>
      </w:r>
      <w:r w:rsidRPr="00AC0422">
        <w:rPr>
          <w:rFonts w:asciiTheme="minorHAnsi" w:hAnsiTheme="minorHAnsi" w:cstheme="minorHAnsi"/>
          <w:szCs w:val="20"/>
        </w:rPr>
        <w:t xml:space="preserve">  A project inception workshop will:  </w:t>
      </w:r>
    </w:p>
    <w:p w14:paraId="60492B6E"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 xml:space="preserve">a) Re-orient project stakeholders to the project strategy and discuss any changes in the overall context that influence project strategy and implementation; </w:t>
      </w:r>
    </w:p>
    <w:p w14:paraId="7213FD0A"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 xml:space="preserve">b) Discuss the roles and responsibilities of the project team, including reporting and communication lines and conflict resolution mechanisms; </w:t>
      </w:r>
    </w:p>
    <w:p w14:paraId="03DF5FEC"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c) Review the results framework and finalize the indicators, means of verification and monitoring plan;</w:t>
      </w:r>
    </w:p>
    <w:p w14:paraId="2B6F9ACE"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 xml:space="preserve">d) Discuss reporting, monitoring and evaluation roles and responsibilities and finalize the M&amp;E budget; identify national/regional institutes to be involved in project-level M&amp;E; </w:t>
      </w:r>
    </w:p>
    <w:p w14:paraId="7392A1E8"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e) Identify how project M&amp;E can support national monitoring of SDG indicators as relevant;</w:t>
      </w:r>
    </w:p>
    <w:p w14:paraId="5B5A2FA6"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 xml:space="preserve">f) Update and review responsibilities for monitoring the various project plans and strategies, including the risk log; </w:t>
      </w:r>
    </w:p>
    <w:p w14:paraId="2DE2E293"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g) Review financial reporting procedures and mandatory requirements, and agree on the arrangements for the periodic audit; and</w:t>
      </w:r>
    </w:p>
    <w:p w14:paraId="741AF120"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 xml:space="preserve">h) Plan and schedule Project Board meetings and finalize the first-year annual work plan.  </w:t>
      </w:r>
    </w:p>
    <w:p w14:paraId="2E0AD4E7" w14:textId="77777777" w:rsidR="00812AEC" w:rsidRPr="00AC0422" w:rsidRDefault="00812AEC" w:rsidP="00812AEC">
      <w:pPr>
        <w:spacing w:after="0"/>
        <w:jc w:val="left"/>
        <w:rPr>
          <w:rFonts w:asciiTheme="minorHAnsi" w:hAnsiTheme="minorHAnsi" w:cstheme="minorHAnsi"/>
          <w:szCs w:val="20"/>
        </w:rPr>
      </w:pPr>
    </w:p>
    <w:p w14:paraId="70966D85" w14:textId="05633CB3" w:rsidR="00812AEC" w:rsidRPr="00AC0422" w:rsidRDefault="00781C86" w:rsidP="26F36376">
      <w:pPr>
        <w:spacing w:after="0"/>
        <w:jc w:val="left"/>
        <w:rPr>
          <w:rFonts w:asciiTheme="minorHAnsi" w:hAnsiTheme="minorHAnsi" w:cstheme="minorHAnsi"/>
        </w:rPr>
      </w:pPr>
      <w:r w:rsidRPr="00AC0422">
        <w:rPr>
          <w:rFonts w:asciiTheme="minorHAnsi" w:hAnsiTheme="minorHAnsi" w:cstheme="minorHAnsi"/>
          <w:color w:val="000000" w:themeColor="text1"/>
          <w:szCs w:val="20"/>
        </w:rPr>
        <w:t xml:space="preserve">The Project Manager will prepare the inception workshop report no later than one month after the inception workshop. </w:t>
      </w:r>
      <w:r w:rsidR="00812AEC" w:rsidRPr="00AC0422">
        <w:rPr>
          <w:rFonts w:asciiTheme="minorHAnsi" w:hAnsiTheme="minorHAnsi" w:cstheme="minorHAnsi"/>
          <w:szCs w:val="20"/>
        </w:rPr>
        <w:t>The</w:t>
      </w:r>
      <w:r w:rsidR="00812AEC" w:rsidRPr="00AC0422">
        <w:rPr>
          <w:rFonts w:asciiTheme="minorHAnsi" w:hAnsiTheme="minorHAnsi" w:cstheme="minorHAnsi"/>
        </w:rPr>
        <w:t xml:space="preserve"> inception report will be cleared by the UNDP Country Office and the UNDP-</w:t>
      </w:r>
      <w:r w:rsidR="00DA2CCA" w:rsidRPr="00DA2CCA">
        <w:rPr>
          <w:rFonts w:asciiTheme="minorHAnsi" w:eastAsia="Arial" w:hAnsiTheme="minorHAnsi" w:cstheme="minorHAnsi"/>
          <w:szCs w:val="20"/>
        </w:rPr>
        <w:t xml:space="preserve"> </w:t>
      </w:r>
      <w:r w:rsidR="00DA2CCA">
        <w:rPr>
          <w:rFonts w:asciiTheme="minorHAnsi" w:eastAsia="Arial" w:hAnsiTheme="minorHAnsi" w:cstheme="minorHAnsi"/>
          <w:szCs w:val="20"/>
        </w:rPr>
        <w:t>Climate Hub</w:t>
      </w:r>
      <w:r w:rsidR="000E3F7F" w:rsidRPr="00AC0422">
        <w:rPr>
          <w:rFonts w:asciiTheme="minorHAnsi" w:hAnsiTheme="minorHAnsi" w:cstheme="minorHAnsi"/>
        </w:rPr>
        <w:t xml:space="preserve"> </w:t>
      </w:r>
      <w:r w:rsidR="00812AEC" w:rsidRPr="00AC0422">
        <w:rPr>
          <w:rFonts w:asciiTheme="minorHAnsi" w:hAnsiTheme="minorHAnsi" w:cstheme="minorHAnsi"/>
        </w:rPr>
        <w:t xml:space="preserve">Regional Technical Adviser and approved by the Project Board.   </w:t>
      </w:r>
    </w:p>
    <w:p w14:paraId="55F46BB8" w14:textId="77777777" w:rsidR="00812AEC" w:rsidRPr="00AC0422" w:rsidRDefault="00812AEC" w:rsidP="00812AEC">
      <w:pPr>
        <w:spacing w:after="0"/>
        <w:jc w:val="left"/>
        <w:rPr>
          <w:rFonts w:asciiTheme="minorHAnsi" w:hAnsiTheme="minorHAnsi" w:cstheme="minorHAnsi"/>
          <w:szCs w:val="20"/>
        </w:rPr>
      </w:pPr>
    </w:p>
    <w:p w14:paraId="1C7D14A4" w14:textId="77777777" w:rsidR="00DA5FA3" w:rsidRPr="00AC0422" w:rsidRDefault="00DA5FA3" w:rsidP="00DA5FA3">
      <w:pPr>
        <w:spacing w:before="120" w:after="120"/>
        <w:jc w:val="left"/>
        <w:rPr>
          <w:rFonts w:asciiTheme="minorHAnsi" w:hAnsiTheme="minorHAnsi" w:cstheme="minorHAnsi"/>
          <w:szCs w:val="20"/>
        </w:rPr>
      </w:pPr>
      <w:r w:rsidRPr="00AC0422">
        <w:rPr>
          <w:rFonts w:asciiTheme="minorHAnsi" w:hAnsiTheme="minorHAnsi" w:cstheme="minorHAnsi"/>
          <w:szCs w:val="20"/>
        </w:rPr>
        <w:t>The inception report will be cleared by the UNDP Country Office and the UNDP-Climate Hub Regional Technical Adviser and approved by the Project Board.</w:t>
      </w:r>
    </w:p>
    <w:p w14:paraId="058D8AD5" w14:textId="77777777" w:rsidR="00DA5FA3" w:rsidRPr="00AC0422" w:rsidRDefault="00DA5FA3" w:rsidP="00DA5FA3">
      <w:pPr>
        <w:spacing w:before="120" w:after="120"/>
        <w:rPr>
          <w:rFonts w:asciiTheme="minorHAnsi" w:hAnsiTheme="minorHAnsi" w:cstheme="minorHAnsi"/>
          <w:szCs w:val="20"/>
        </w:rPr>
      </w:pPr>
      <w:r w:rsidRPr="00AC0422">
        <w:rPr>
          <w:rFonts w:asciiTheme="minorHAnsi" w:hAnsiTheme="minorHAnsi" w:cstheme="minorHAnsi"/>
          <w:szCs w:val="20"/>
          <w:u w:val="single"/>
        </w:rPr>
        <w:t>GCF Annual Project Report (due no later than 60 days following and 31 December for each year of project implementation):</w:t>
      </w:r>
      <w:r w:rsidRPr="00AC0422">
        <w:rPr>
          <w:rFonts w:asciiTheme="minorHAnsi" w:hAnsiTheme="minorHAnsi" w:cstheme="minorHAnsi"/>
          <w:szCs w:val="20"/>
        </w:rPr>
        <w:t xml:space="preserve">  The Project Manager, the UNDP Country Office, and the UNDP-Climate Hub Regional Technical Advisor will provide objective input to the annual project reports covering the 6 months in the calendar year for each year of project implementation. The Project Manager will ensure that the indicators included in the project results framework are monitored annually in advance so that progress can be included in the report.</w:t>
      </w:r>
    </w:p>
    <w:p w14:paraId="2213CA26" w14:textId="77777777" w:rsidR="00DA5FA3" w:rsidRPr="00AC0422" w:rsidRDefault="00DA5FA3" w:rsidP="00DA5FA3">
      <w:pPr>
        <w:spacing w:before="120" w:after="120"/>
        <w:rPr>
          <w:rFonts w:asciiTheme="minorHAnsi" w:hAnsiTheme="minorHAnsi" w:cstheme="minorHAnsi"/>
          <w:szCs w:val="20"/>
        </w:rPr>
      </w:pPr>
      <w:r w:rsidRPr="00AC0422">
        <w:rPr>
          <w:rFonts w:asciiTheme="minorHAnsi" w:hAnsiTheme="minorHAnsi" w:cstheme="minorHAnsi"/>
          <w:szCs w:val="20"/>
        </w:rPr>
        <w:lastRenderedPageBreak/>
        <w:t xml:space="preserve">The Annual Project Report will also be shared with the Project Board. The UNDP Country Office will coordinate the inputs of other stakeholders to the report as appropriate. The quality rating of the previous year’s report will be used to inform the preparation of the subsequent report.  </w:t>
      </w:r>
    </w:p>
    <w:p w14:paraId="6C3ED331" w14:textId="77777777" w:rsidR="00DA5FA3" w:rsidRPr="00AC0422" w:rsidRDefault="00DA5FA3" w:rsidP="00DA5FA3">
      <w:pPr>
        <w:spacing w:before="120" w:after="120"/>
        <w:rPr>
          <w:rFonts w:asciiTheme="minorHAnsi" w:hAnsiTheme="minorHAnsi" w:cstheme="minorHAnsi"/>
          <w:szCs w:val="20"/>
          <w:lang w:val="en-GB"/>
        </w:rPr>
      </w:pPr>
      <w:r w:rsidRPr="00AC0422">
        <w:rPr>
          <w:rFonts w:asciiTheme="minorHAnsi" w:hAnsiTheme="minorHAnsi" w:cstheme="minorHAnsi"/>
          <w:szCs w:val="20"/>
          <w:u w:val="single"/>
          <w:lang w:val="en-GB"/>
        </w:rPr>
        <w:t>Lessons learned and knowledge generation:</w:t>
      </w:r>
      <w:r w:rsidRPr="00AC0422">
        <w:rPr>
          <w:rFonts w:asciiTheme="minorHAnsi" w:hAnsiTheme="minorHAnsi" w:cstheme="minorHAnsi"/>
          <w:szCs w:val="20"/>
          <w:lang w:val="en-GB"/>
        </w:rPr>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0AD5637" w14:textId="6AEDD6E0" w:rsidR="00DA5FA3" w:rsidRPr="00AC0422" w:rsidRDefault="00DA5FA3" w:rsidP="00DA5FA3">
      <w:pPr>
        <w:spacing w:before="120" w:after="120"/>
        <w:rPr>
          <w:rFonts w:asciiTheme="minorHAnsi" w:hAnsiTheme="minorHAnsi" w:cstheme="minorHAnsi"/>
          <w:szCs w:val="20"/>
        </w:rPr>
      </w:pPr>
      <w:r w:rsidRPr="00AC0422">
        <w:rPr>
          <w:rFonts w:asciiTheme="minorHAnsi" w:hAnsiTheme="minorHAnsi" w:cstheme="minorHAnsi"/>
          <w:szCs w:val="20"/>
          <w:u w:val="single"/>
        </w:rPr>
        <w:t>Project Completion Report:</w:t>
      </w:r>
      <w:r w:rsidRPr="00AC0422">
        <w:rPr>
          <w:rFonts w:asciiTheme="minorHAnsi" w:hAnsiTheme="minorHAnsi" w:cstheme="minorHAnsi"/>
          <w:szCs w:val="20"/>
        </w:rPr>
        <w:t xml:space="preserve"> The project’s Completion Report along with the final budget and expenditure report will serve as the final project report package. The final project report package shall be discussed with the Project Board during an end-of-project review meeting to discuss </w:t>
      </w:r>
      <w:r w:rsidR="00492E2D" w:rsidRPr="00AC0422">
        <w:rPr>
          <w:rFonts w:asciiTheme="minorHAnsi" w:hAnsiTheme="minorHAnsi" w:cstheme="minorHAnsi"/>
          <w:szCs w:val="20"/>
        </w:rPr>
        <w:t>lessons</w:t>
      </w:r>
      <w:r w:rsidRPr="00AC0422">
        <w:rPr>
          <w:rFonts w:asciiTheme="minorHAnsi" w:hAnsiTheme="minorHAnsi" w:cstheme="minorHAnsi"/>
          <w:szCs w:val="20"/>
        </w:rPr>
        <w:t xml:space="preserve"> learned and opportunities for scaling up.</w:t>
      </w:r>
    </w:p>
    <w:p w14:paraId="5F3EE4A2" w14:textId="415949BC" w:rsidR="64972DA1" w:rsidRPr="00AC0422" w:rsidRDefault="64972DA1" w:rsidP="79E63765">
      <w:pPr>
        <w:spacing w:after="0"/>
        <w:rPr>
          <w:rFonts w:asciiTheme="minorHAnsi" w:hAnsiTheme="minorHAnsi" w:cstheme="minorHAnsi"/>
        </w:rPr>
      </w:pPr>
      <w:r w:rsidRPr="00AC0422">
        <w:rPr>
          <w:rFonts w:asciiTheme="minorHAnsi" w:hAnsiTheme="minorHAnsi" w:cstheme="minorHAnsi"/>
          <w:u w:val="single"/>
        </w:rPr>
        <w:t>Intellectual Property Rights</w:t>
      </w:r>
      <w:r w:rsidR="005F78E3" w:rsidRPr="00AC0422">
        <w:rPr>
          <w:rStyle w:val="CommentReference"/>
          <w:rFonts w:asciiTheme="minorHAnsi" w:hAnsiTheme="minorHAnsi" w:cstheme="minorHAnsi"/>
        </w:rPr>
        <w:t>:</w:t>
      </w:r>
      <w:r w:rsidR="00AF7683" w:rsidRPr="00AC0422">
        <w:rPr>
          <w:rFonts w:asciiTheme="minorHAnsi" w:hAnsiTheme="minorHAnsi" w:cstheme="minorHAnsi"/>
        </w:rPr>
        <w:t xml:space="preserve"> To accord acknowledgement to the GCF for providing grant funding, the GCF logo will appear together with the UNDP logo on all promotional materials, other written materials like publications developed by the project, and project hardware. Any citation on publications regarding projects funded by the GCF will also accord proper acknowledgement to the GCF. Information will be disclosed in accordance with relevant policies notably the UNDP Disclosure Policy</w:t>
      </w:r>
      <w:r w:rsidR="006C7FB5" w:rsidRPr="00AC0422">
        <w:rPr>
          <w:rStyle w:val="FootnoteReference"/>
          <w:rFonts w:asciiTheme="minorHAnsi" w:hAnsiTheme="minorHAnsi" w:cstheme="minorHAnsi"/>
        </w:rPr>
        <w:footnoteReference w:id="20"/>
      </w:r>
      <w:r w:rsidR="006C7FB5" w:rsidRPr="00AC0422">
        <w:rPr>
          <w:rFonts w:asciiTheme="minorHAnsi" w:hAnsiTheme="minorHAnsi" w:cstheme="minorHAnsi"/>
        </w:rPr>
        <w:t xml:space="preserve"> and the relevant GCF policy. See also </w:t>
      </w:r>
      <w:hyperlink r:id="rId49" w:history="1">
        <w:r w:rsidR="006C7FB5" w:rsidRPr="00AC0422">
          <w:rPr>
            <w:rStyle w:val="Hyperlink"/>
            <w:rFonts w:asciiTheme="minorHAnsi" w:hAnsiTheme="minorHAnsi" w:cstheme="minorHAnsi"/>
          </w:rPr>
          <w:t>GCF Branding Guidelines</w:t>
        </w:r>
      </w:hyperlink>
      <w:r w:rsidR="006C7FB5" w:rsidRPr="00AC0422">
        <w:rPr>
          <w:rFonts w:asciiTheme="minorHAnsi" w:hAnsiTheme="minorHAnsi" w:cstheme="minorHAnsi"/>
        </w:rPr>
        <w:t>.</w:t>
      </w:r>
    </w:p>
    <w:p w14:paraId="05735595" w14:textId="77777777" w:rsidR="00812AEC" w:rsidRPr="00AC0422" w:rsidRDefault="00812AEC" w:rsidP="00812AEC">
      <w:pPr>
        <w:spacing w:after="0"/>
        <w:jc w:val="left"/>
        <w:rPr>
          <w:rFonts w:asciiTheme="minorHAnsi" w:hAnsiTheme="minorHAnsi" w:cstheme="minorHAnsi"/>
          <w:b/>
          <w:szCs w:val="20"/>
        </w:rPr>
      </w:pPr>
    </w:p>
    <w:p w14:paraId="34A6EC0D" w14:textId="77777777" w:rsidR="00812AEC" w:rsidRPr="00AC0422" w:rsidRDefault="00812AEC" w:rsidP="00812AEC">
      <w:pPr>
        <w:spacing w:after="0"/>
        <w:jc w:val="left"/>
        <w:rPr>
          <w:rFonts w:asciiTheme="minorHAnsi" w:hAnsiTheme="minorHAnsi" w:cstheme="minorHAnsi"/>
          <w:b/>
          <w:szCs w:val="20"/>
        </w:rPr>
      </w:pPr>
      <w:r w:rsidRPr="00AC0422">
        <w:rPr>
          <w:rFonts w:asciiTheme="minorHAnsi" w:hAnsiTheme="minorHAnsi" w:cstheme="minorHAnsi"/>
          <w:b/>
          <w:szCs w:val="20"/>
        </w:rPr>
        <w:t xml:space="preserve">Mandatory GCF M&amp;E Requirements and M&amp;E Budget:  </w:t>
      </w:r>
    </w:p>
    <w:p w14:paraId="02BA8E09" w14:textId="77777777" w:rsidR="00812AEC" w:rsidRPr="00AC0422" w:rsidRDefault="00812AEC" w:rsidP="00812AEC">
      <w:pPr>
        <w:spacing w:after="0"/>
        <w:jc w:val="left"/>
        <w:rPr>
          <w:rFonts w:asciiTheme="minorHAnsi" w:hAnsiTheme="minorHAnsi" w:cstheme="minorHAnsi"/>
          <w:b/>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9"/>
        <w:gridCol w:w="1960"/>
        <w:gridCol w:w="1331"/>
        <w:gridCol w:w="1164"/>
        <w:gridCol w:w="1696"/>
      </w:tblGrid>
      <w:tr w:rsidR="00812AEC" w:rsidRPr="00AC0422" w14:paraId="3F3E57D5" w14:textId="77777777" w:rsidTr="00812AEC">
        <w:trPr>
          <w:tblHeader/>
          <w:jc w:val="center"/>
        </w:trPr>
        <w:tc>
          <w:tcPr>
            <w:tcW w:w="3089" w:type="dxa"/>
            <w:vMerge w:val="restart"/>
            <w:shd w:val="clear" w:color="auto" w:fill="BFBFBF"/>
          </w:tcPr>
          <w:p w14:paraId="49E7A48B"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GCF M&amp;E requirements</w:t>
            </w:r>
          </w:p>
          <w:p w14:paraId="56A047F5" w14:textId="77777777" w:rsidR="00812AEC" w:rsidRPr="00AC0422" w:rsidRDefault="00812AEC" w:rsidP="00812AEC">
            <w:pPr>
              <w:spacing w:after="0"/>
              <w:jc w:val="left"/>
              <w:rPr>
                <w:rFonts w:asciiTheme="minorHAnsi" w:hAnsiTheme="minorHAnsi" w:cstheme="minorHAnsi"/>
                <w:b/>
                <w:sz w:val="18"/>
                <w:szCs w:val="18"/>
              </w:rPr>
            </w:pPr>
          </w:p>
        </w:tc>
        <w:tc>
          <w:tcPr>
            <w:tcW w:w="1960" w:type="dxa"/>
            <w:vMerge w:val="restart"/>
            <w:shd w:val="clear" w:color="auto" w:fill="BFBFBF"/>
          </w:tcPr>
          <w:p w14:paraId="5DF55C37"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Primary responsibility</w:t>
            </w:r>
          </w:p>
        </w:tc>
        <w:tc>
          <w:tcPr>
            <w:tcW w:w="2495" w:type="dxa"/>
            <w:gridSpan w:val="2"/>
            <w:shd w:val="clear" w:color="auto" w:fill="BFBFBF"/>
          </w:tcPr>
          <w:p w14:paraId="28DF9E7F"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Indicative costs to be charged to the Project Budget</w:t>
            </w:r>
            <w:r w:rsidRPr="00AC0422">
              <w:rPr>
                <w:rFonts w:asciiTheme="minorHAnsi" w:hAnsiTheme="minorHAnsi" w:cstheme="minorHAnsi"/>
                <w:b/>
                <w:sz w:val="18"/>
                <w:szCs w:val="18"/>
                <w:vertAlign w:val="superscript"/>
              </w:rPr>
              <w:footnoteReference w:id="21"/>
            </w:r>
            <w:r w:rsidRPr="00AC0422">
              <w:rPr>
                <w:rFonts w:asciiTheme="minorHAnsi" w:hAnsiTheme="minorHAnsi" w:cstheme="minorHAnsi"/>
                <w:b/>
                <w:sz w:val="18"/>
                <w:szCs w:val="18"/>
              </w:rPr>
              <w:t xml:space="preserve">  (US$)</w:t>
            </w:r>
          </w:p>
        </w:tc>
        <w:tc>
          <w:tcPr>
            <w:tcW w:w="1696" w:type="dxa"/>
            <w:vMerge w:val="restart"/>
            <w:shd w:val="clear" w:color="auto" w:fill="BFBFBF"/>
          </w:tcPr>
          <w:p w14:paraId="25D032EC"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Time frame</w:t>
            </w:r>
          </w:p>
        </w:tc>
      </w:tr>
      <w:tr w:rsidR="00812AEC" w:rsidRPr="00AC0422" w14:paraId="5D0A4B64" w14:textId="77777777" w:rsidTr="00812AEC">
        <w:trPr>
          <w:tblHeader/>
          <w:jc w:val="center"/>
        </w:trPr>
        <w:tc>
          <w:tcPr>
            <w:tcW w:w="3089" w:type="dxa"/>
            <w:vMerge/>
            <w:shd w:val="clear" w:color="auto" w:fill="BFBFBF"/>
          </w:tcPr>
          <w:p w14:paraId="55BC66E3" w14:textId="77777777" w:rsidR="00812AEC" w:rsidRPr="00AC0422" w:rsidRDefault="00812AEC" w:rsidP="00812AEC">
            <w:pPr>
              <w:spacing w:after="0"/>
              <w:jc w:val="left"/>
              <w:rPr>
                <w:rFonts w:asciiTheme="minorHAnsi" w:hAnsiTheme="minorHAnsi" w:cstheme="minorHAnsi"/>
                <w:b/>
                <w:sz w:val="18"/>
                <w:szCs w:val="18"/>
              </w:rPr>
            </w:pPr>
          </w:p>
        </w:tc>
        <w:tc>
          <w:tcPr>
            <w:tcW w:w="1960" w:type="dxa"/>
            <w:vMerge/>
            <w:shd w:val="clear" w:color="auto" w:fill="BFBFBF"/>
          </w:tcPr>
          <w:p w14:paraId="37C3EA82" w14:textId="77777777" w:rsidR="00812AEC" w:rsidRPr="00AC0422" w:rsidRDefault="00812AEC" w:rsidP="00812AEC">
            <w:pPr>
              <w:spacing w:after="0"/>
              <w:jc w:val="left"/>
              <w:rPr>
                <w:rFonts w:asciiTheme="minorHAnsi" w:hAnsiTheme="minorHAnsi" w:cstheme="minorHAnsi"/>
                <w:b/>
                <w:sz w:val="18"/>
                <w:szCs w:val="18"/>
              </w:rPr>
            </w:pPr>
          </w:p>
        </w:tc>
        <w:tc>
          <w:tcPr>
            <w:tcW w:w="1331" w:type="dxa"/>
            <w:shd w:val="clear" w:color="auto" w:fill="BFBFBF"/>
          </w:tcPr>
          <w:p w14:paraId="7208411C"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GCF grant</w:t>
            </w:r>
          </w:p>
        </w:tc>
        <w:tc>
          <w:tcPr>
            <w:tcW w:w="1164" w:type="dxa"/>
            <w:shd w:val="clear" w:color="auto" w:fill="BFBFBF"/>
          </w:tcPr>
          <w:p w14:paraId="41B6BEBE"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Co-financing</w:t>
            </w:r>
          </w:p>
        </w:tc>
        <w:tc>
          <w:tcPr>
            <w:tcW w:w="1696" w:type="dxa"/>
            <w:vMerge/>
            <w:shd w:val="clear" w:color="auto" w:fill="BFBFBF"/>
          </w:tcPr>
          <w:p w14:paraId="1AC04456" w14:textId="77777777" w:rsidR="00812AEC" w:rsidRPr="00AC0422" w:rsidRDefault="00812AEC" w:rsidP="00812AEC">
            <w:pPr>
              <w:spacing w:after="0"/>
              <w:jc w:val="left"/>
              <w:rPr>
                <w:rFonts w:asciiTheme="minorHAnsi" w:hAnsiTheme="minorHAnsi" w:cstheme="minorHAnsi"/>
                <w:b/>
                <w:sz w:val="18"/>
                <w:szCs w:val="18"/>
              </w:rPr>
            </w:pPr>
          </w:p>
        </w:tc>
      </w:tr>
      <w:tr w:rsidR="00812AEC" w:rsidRPr="00AC0422" w14:paraId="6A753602" w14:textId="77777777" w:rsidTr="00812AEC">
        <w:trPr>
          <w:jc w:val="center"/>
        </w:trPr>
        <w:tc>
          <w:tcPr>
            <w:tcW w:w="3089" w:type="dxa"/>
          </w:tcPr>
          <w:p w14:paraId="6EFB2559"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 xml:space="preserve">Inception Workshop </w:t>
            </w:r>
          </w:p>
        </w:tc>
        <w:tc>
          <w:tcPr>
            <w:tcW w:w="1960" w:type="dxa"/>
          </w:tcPr>
          <w:p w14:paraId="33D4C85C"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 xml:space="preserve">UNDP Country Office </w:t>
            </w:r>
          </w:p>
        </w:tc>
        <w:tc>
          <w:tcPr>
            <w:tcW w:w="1331" w:type="dxa"/>
          </w:tcPr>
          <w:p w14:paraId="0517432C" w14:textId="1B218044" w:rsidR="00812AEC" w:rsidRPr="00AC0422" w:rsidRDefault="00AC0422" w:rsidP="00812AEC">
            <w:pPr>
              <w:spacing w:after="0"/>
              <w:jc w:val="left"/>
              <w:rPr>
                <w:rFonts w:asciiTheme="minorHAnsi" w:hAnsiTheme="minorHAnsi" w:cstheme="minorHAnsi"/>
                <w:sz w:val="18"/>
                <w:szCs w:val="18"/>
              </w:rPr>
            </w:pPr>
            <w:r>
              <w:rPr>
                <w:rFonts w:asciiTheme="minorHAnsi" w:hAnsiTheme="minorHAnsi" w:cstheme="minorHAnsi"/>
                <w:sz w:val="18"/>
                <w:szCs w:val="18"/>
              </w:rPr>
              <w:t>5,000</w:t>
            </w:r>
          </w:p>
        </w:tc>
        <w:tc>
          <w:tcPr>
            <w:tcW w:w="1164" w:type="dxa"/>
          </w:tcPr>
          <w:p w14:paraId="6878A8FA" w14:textId="39014027" w:rsidR="00812AEC" w:rsidRPr="00AC0422" w:rsidRDefault="006A2165" w:rsidP="00812AEC">
            <w:pPr>
              <w:spacing w:after="0"/>
              <w:jc w:val="left"/>
              <w:rPr>
                <w:rFonts w:asciiTheme="minorHAnsi" w:hAnsiTheme="minorHAnsi" w:cstheme="minorHAnsi"/>
                <w:i/>
                <w:sz w:val="18"/>
                <w:szCs w:val="18"/>
              </w:rPr>
            </w:pPr>
            <w:r w:rsidRPr="00AC0422">
              <w:rPr>
                <w:rFonts w:asciiTheme="minorHAnsi" w:hAnsiTheme="minorHAnsi" w:cstheme="minorHAnsi"/>
                <w:i/>
                <w:sz w:val="18"/>
                <w:szCs w:val="18"/>
              </w:rPr>
              <w:t>None</w:t>
            </w:r>
          </w:p>
        </w:tc>
        <w:tc>
          <w:tcPr>
            <w:tcW w:w="1696" w:type="dxa"/>
          </w:tcPr>
          <w:p w14:paraId="77F76F49" w14:textId="13013492" w:rsidR="00812AEC" w:rsidRPr="00AC0422" w:rsidRDefault="002C6573" w:rsidP="00812AEC">
            <w:pPr>
              <w:spacing w:after="0"/>
              <w:jc w:val="left"/>
              <w:rPr>
                <w:rFonts w:asciiTheme="minorHAnsi" w:hAnsiTheme="minorHAnsi" w:cstheme="minorHAnsi"/>
                <w:i/>
                <w:sz w:val="18"/>
                <w:szCs w:val="18"/>
              </w:rPr>
            </w:pPr>
            <w:r w:rsidRPr="00AC0422">
              <w:rPr>
                <w:rFonts w:asciiTheme="minorHAnsi" w:hAnsiTheme="minorHAnsi" w:cstheme="minorHAnsi"/>
                <w:i/>
                <w:sz w:val="18"/>
                <w:szCs w:val="18"/>
              </w:rPr>
              <w:t>Q2 Y1</w:t>
            </w:r>
          </w:p>
        </w:tc>
      </w:tr>
      <w:tr w:rsidR="00812AEC" w:rsidRPr="00AC0422" w14:paraId="7794990B" w14:textId="77777777" w:rsidTr="00812AEC">
        <w:trPr>
          <w:jc w:val="center"/>
        </w:trPr>
        <w:tc>
          <w:tcPr>
            <w:tcW w:w="3089" w:type="dxa"/>
          </w:tcPr>
          <w:p w14:paraId="2DA5D98C"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Inception Report and baseline assessments</w:t>
            </w:r>
          </w:p>
        </w:tc>
        <w:tc>
          <w:tcPr>
            <w:tcW w:w="1960" w:type="dxa"/>
          </w:tcPr>
          <w:p w14:paraId="4E979C23"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Project Manager</w:t>
            </w:r>
          </w:p>
        </w:tc>
        <w:tc>
          <w:tcPr>
            <w:tcW w:w="1331" w:type="dxa"/>
          </w:tcPr>
          <w:p w14:paraId="294DC11C" w14:textId="0BA9127E" w:rsidR="00812AEC" w:rsidRPr="00AC0422" w:rsidRDefault="00574516" w:rsidP="00812AEC">
            <w:pPr>
              <w:spacing w:after="0"/>
              <w:jc w:val="left"/>
              <w:rPr>
                <w:rFonts w:asciiTheme="minorHAnsi" w:hAnsiTheme="minorHAnsi" w:cstheme="minorHAnsi"/>
                <w:i/>
                <w:sz w:val="18"/>
                <w:szCs w:val="18"/>
              </w:rPr>
            </w:pPr>
            <w:r w:rsidRPr="00AC0422">
              <w:rPr>
                <w:rFonts w:asciiTheme="minorHAnsi" w:hAnsiTheme="minorHAnsi" w:cstheme="minorHAnsi"/>
                <w:iCs/>
                <w:sz w:val="18"/>
                <w:szCs w:val="18"/>
              </w:rPr>
              <w:t>None</w:t>
            </w:r>
          </w:p>
        </w:tc>
        <w:tc>
          <w:tcPr>
            <w:tcW w:w="1164" w:type="dxa"/>
          </w:tcPr>
          <w:p w14:paraId="26F61335"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None</w:t>
            </w:r>
          </w:p>
        </w:tc>
        <w:tc>
          <w:tcPr>
            <w:tcW w:w="1696" w:type="dxa"/>
          </w:tcPr>
          <w:p w14:paraId="494BAF65" w14:textId="77777777" w:rsidR="00812AEC" w:rsidRPr="00AC0422" w:rsidRDefault="00812AEC" w:rsidP="00812AEC">
            <w:pPr>
              <w:spacing w:after="0"/>
              <w:jc w:val="left"/>
              <w:rPr>
                <w:rFonts w:asciiTheme="minorHAnsi" w:hAnsiTheme="minorHAnsi" w:cstheme="minorHAnsi"/>
                <w:i/>
                <w:sz w:val="18"/>
                <w:szCs w:val="18"/>
              </w:rPr>
            </w:pPr>
            <w:r w:rsidRPr="00AC0422">
              <w:rPr>
                <w:rFonts w:asciiTheme="minorHAnsi" w:hAnsiTheme="minorHAnsi" w:cstheme="minorHAnsi"/>
                <w:i/>
                <w:sz w:val="18"/>
                <w:szCs w:val="18"/>
              </w:rPr>
              <w:t xml:space="preserve">Add date </w:t>
            </w:r>
          </w:p>
        </w:tc>
      </w:tr>
      <w:tr w:rsidR="00812AEC" w:rsidRPr="00AC0422" w14:paraId="1297F7B5" w14:textId="77777777" w:rsidTr="00812AEC">
        <w:trPr>
          <w:jc w:val="center"/>
        </w:trPr>
        <w:tc>
          <w:tcPr>
            <w:tcW w:w="3089" w:type="dxa"/>
          </w:tcPr>
          <w:p w14:paraId="1AC035A8"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Standard UNDP monitoring and reporting requirements as outlined in the UNDP POPP</w:t>
            </w:r>
          </w:p>
        </w:tc>
        <w:tc>
          <w:tcPr>
            <w:tcW w:w="1960" w:type="dxa"/>
          </w:tcPr>
          <w:p w14:paraId="5AD72ED8"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UNDP Country Office</w:t>
            </w:r>
          </w:p>
          <w:p w14:paraId="0C2CF2E2" w14:textId="77777777" w:rsidR="00812AEC" w:rsidRPr="00AC0422" w:rsidRDefault="00812AEC" w:rsidP="00812AEC">
            <w:pPr>
              <w:spacing w:after="0"/>
              <w:jc w:val="left"/>
              <w:rPr>
                <w:rFonts w:asciiTheme="minorHAnsi" w:hAnsiTheme="minorHAnsi" w:cstheme="minorHAnsi"/>
                <w:b/>
                <w:sz w:val="18"/>
                <w:szCs w:val="18"/>
              </w:rPr>
            </w:pPr>
          </w:p>
        </w:tc>
        <w:tc>
          <w:tcPr>
            <w:tcW w:w="1331" w:type="dxa"/>
          </w:tcPr>
          <w:p w14:paraId="336E767C"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None</w:t>
            </w:r>
          </w:p>
        </w:tc>
        <w:tc>
          <w:tcPr>
            <w:tcW w:w="1164" w:type="dxa"/>
          </w:tcPr>
          <w:p w14:paraId="2FC4373C"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None</w:t>
            </w:r>
          </w:p>
        </w:tc>
        <w:tc>
          <w:tcPr>
            <w:tcW w:w="1696" w:type="dxa"/>
          </w:tcPr>
          <w:p w14:paraId="1587B784"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Annually</w:t>
            </w:r>
          </w:p>
        </w:tc>
      </w:tr>
      <w:tr w:rsidR="00812AEC" w:rsidRPr="00AC0422" w14:paraId="270BD111" w14:textId="77777777" w:rsidTr="00812AEC">
        <w:trPr>
          <w:jc w:val="center"/>
        </w:trPr>
        <w:tc>
          <w:tcPr>
            <w:tcW w:w="3089" w:type="dxa"/>
          </w:tcPr>
          <w:p w14:paraId="6B06896F" w14:textId="703719C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 xml:space="preserve">Risk management (including </w:t>
            </w:r>
            <w:r w:rsidR="00807536" w:rsidRPr="00AC0422">
              <w:rPr>
                <w:rFonts w:asciiTheme="minorHAnsi" w:hAnsiTheme="minorHAnsi" w:cstheme="minorHAnsi"/>
                <w:b/>
                <w:sz w:val="18"/>
                <w:szCs w:val="18"/>
              </w:rPr>
              <w:t>Quantum</w:t>
            </w:r>
            <w:r w:rsidRPr="00AC0422">
              <w:rPr>
                <w:rFonts w:asciiTheme="minorHAnsi" w:hAnsiTheme="minorHAnsi" w:cstheme="minorHAnsi"/>
                <w:b/>
                <w:sz w:val="18"/>
                <w:szCs w:val="18"/>
              </w:rPr>
              <w:t xml:space="preserve"> Risk logs)</w:t>
            </w:r>
          </w:p>
        </w:tc>
        <w:tc>
          <w:tcPr>
            <w:tcW w:w="1960" w:type="dxa"/>
          </w:tcPr>
          <w:p w14:paraId="74D34761"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Project Manager</w:t>
            </w:r>
          </w:p>
          <w:p w14:paraId="68664F58"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Country Office</w:t>
            </w:r>
          </w:p>
        </w:tc>
        <w:tc>
          <w:tcPr>
            <w:tcW w:w="1331" w:type="dxa"/>
          </w:tcPr>
          <w:p w14:paraId="37FECD98"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None</w:t>
            </w:r>
          </w:p>
        </w:tc>
        <w:tc>
          <w:tcPr>
            <w:tcW w:w="1164" w:type="dxa"/>
          </w:tcPr>
          <w:p w14:paraId="452205E7"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None</w:t>
            </w:r>
          </w:p>
        </w:tc>
        <w:tc>
          <w:tcPr>
            <w:tcW w:w="1696" w:type="dxa"/>
          </w:tcPr>
          <w:p w14:paraId="454945E9"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Quarterly, annually</w:t>
            </w:r>
          </w:p>
        </w:tc>
      </w:tr>
      <w:tr w:rsidR="00812AEC" w:rsidRPr="00AC0422" w14:paraId="6755F20B" w14:textId="77777777" w:rsidTr="00812AEC">
        <w:trPr>
          <w:jc w:val="center"/>
        </w:trPr>
        <w:tc>
          <w:tcPr>
            <w:tcW w:w="3089" w:type="dxa"/>
          </w:tcPr>
          <w:p w14:paraId="0B602F5A"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 xml:space="preserve">Monitoring of indicators in project results framework </w:t>
            </w:r>
          </w:p>
          <w:p w14:paraId="04054FB0"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i/>
                <w:sz w:val="18"/>
                <w:szCs w:val="18"/>
              </w:rPr>
              <w:t xml:space="preserve">(including hiring of external experts, project surveys, data analysis </w:t>
            </w:r>
            <w:proofErr w:type="spellStart"/>
            <w:r w:rsidRPr="00AC0422">
              <w:rPr>
                <w:rFonts w:asciiTheme="minorHAnsi" w:hAnsiTheme="minorHAnsi" w:cstheme="minorHAnsi"/>
                <w:b/>
                <w:i/>
                <w:sz w:val="18"/>
                <w:szCs w:val="18"/>
              </w:rPr>
              <w:t>etc</w:t>
            </w:r>
            <w:proofErr w:type="spellEnd"/>
            <w:r w:rsidRPr="00AC0422">
              <w:rPr>
                <w:rFonts w:asciiTheme="minorHAnsi" w:hAnsiTheme="minorHAnsi" w:cstheme="minorHAnsi"/>
                <w:b/>
                <w:i/>
                <w:sz w:val="18"/>
                <w:szCs w:val="18"/>
              </w:rPr>
              <w:t>…)</w:t>
            </w:r>
          </w:p>
        </w:tc>
        <w:tc>
          <w:tcPr>
            <w:tcW w:w="1960" w:type="dxa"/>
          </w:tcPr>
          <w:p w14:paraId="5ACECB0F"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Project Manager</w:t>
            </w:r>
          </w:p>
          <w:p w14:paraId="4A50DA29" w14:textId="77777777" w:rsidR="00812AEC" w:rsidRPr="00AC0422" w:rsidRDefault="00812AEC" w:rsidP="00812AEC">
            <w:pPr>
              <w:spacing w:after="0"/>
              <w:jc w:val="left"/>
              <w:rPr>
                <w:rFonts w:asciiTheme="minorHAnsi" w:hAnsiTheme="minorHAnsi" w:cstheme="minorHAnsi"/>
                <w:sz w:val="18"/>
                <w:szCs w:val="18"/>
              </w:rPr>
            </w:pPr>
          </w:p>
        </w:tc>
        <w:tc>
          <w:tcPr>
            <w:tcW w:w="1331" w:type="dxa"/>
          </w:tcPr>
          <w:p w14:paraId="1ACE3D53" w14:textId="7445410D" w:rsidR="00812AEC" w:rsidRPr="00AC0422" w:rsidRDefault="00975E6C" w:rsidP="00812AEC">
            <w:pPr>
              <w:spacing w:after="0"/>
              <w:jc w:val="left"/>
              <w:rPr>
                <w:rFonts w:asciiTheme="minorHAnsi" w:hAnsiTheme="minorHAnsi" w:cstheme="minorHAnsi"/>
                <w:sz w:val="18"/>
                <w:szCs w:val="18"/>
                <w:lang w:val="en-GB"/>
              </w:rPr>
            </w:pPr>
            <w:r w:rsidRPr="00AC0422">
              <w:rPr>
                <w:rFonts w:asciiTheme="minorHAnsi" w:hAnsiTheme="minorHAnsi" w:cstheme="minorHAnsi"/>
                <w:sz w:val="18"/>
                <w:szCs w:val="18"/>
                <w:lang w:val="en-GB"/>
              </w:rPr>
              <w:t>None</w:t>
            </w:r>
          </w:p>
          <w:p w14:paraId="7513583D" w14:textId="3027F214" w:rsidR="00812AEC" w:rsidRPr="00AC0422" w:rsidRDefault="00812AEC" w:rsidP="00812AEC">
            <w:pPr>
              <w:spacing w:after="0"/>
              <w:jc w:val="left"/>
              <w:rPr>
                <w:rFonts w:asciiTheme="minorHAnsi" w:hAnsiTheme="minorHAnsi" w:cstheme="minorHAnsi"/>
                <w:sz w:val="18"/>
                <w:szCs w:val="18"/>
                <w:lang w:val="en-GB"/>
              </w:rPr>
            </w:pPr>
          </w:p>
        </w:tc>
        <w:tc>
          <w:tcPr>
            <w:tcW w:w="1164" w:type="dxa"/>
          </w:tcPr>
          <w:p w14:paraId="365E4FA1" w14:textId="77777777" w:rsidR="00975E6C" w:rsidRPr="00AC0422" w:rsidRDefault="00975E6C" w:rsidP="00975E6C">
            <w:pPr>
              <w:spacing w:after="0"/>
              <w:jc w:val="left"/>
              <w:rPr>
                <w:rFonts w:asciiTheme="minorHAnsi" w:hAnsiTheme="minorHAnsi" w:cstheme="minorHAnsi"/>
                <w:i/>
                <w:sz w:val="18"/>
                <w:szCs w:val="18"/>
                <w:lang w:val="en-GB"/>
              </w:rPr>
            </w:pPr>
            <w:r w:rsidRPr="00AC0422">
              <w:rPr>
                <w:rFonts w:asciiTheme="minorHAnsi" w:hAnsiTheme="minorHAnsi" w:cstheme="minorHAnsi"/>
                <w:i/>
                <w:sz w:val="18"/>
                <w:szCs w:val="18"/>
                <w:lang w:val="en-GB"/>
              </w:rPr>
              <w:t>None</w:t>
            </w:r>
          </w:p>
          <w:p w14:paraId="022D1A1E" w14:textId="0E88EFA5" w:rsidR="00812AEC" w:rsidRPr="00AC0422" w:rsidRDefault="00812AEC" w:rsidP="00812AEC">
            <w:pPr>
              <w:spacing w:after="0"/>
              <w:jc w:val="left"/>
              <w:rPr>
                <w:rFonts w:asciiTheme="minorHAnsi" w:hAnsiTheme="minorHAnsi" w:cstheme="minorHAnsi"/>
                <w:i/>
                <w:sz w:val="18"/>
                <w:szCs w:val="18"/>
                <w:lang w:val="en-GB"/>
              </w:rPr>
            </w:pPr>
          </w:p>
        </w:tc>
        <w:tc>
          <w:tcPr>
            <w:tcW w:w="1696" w:type="dxa"/>
          </w:tcPr>
          <w:p w14:paraId="174FB16A"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 xml:space="preserve">Annually </w:t>
            </w:r>
          </w:p>
        </w:tc>
      </w:tr>
      <w:tr w:rsidR="00812AEC" w:rsidRPr="00AC0422" w14:paraId="3E7C0E2E" w14:textId="77777777" w:rsidTr="00812AEC">
        <w:trPr>
          <w:jc w:val="center"/>
        </w:trPr>
        <w:tc>
          <w:tcPr>
            <w:tcW w:w="3089" w:type="dxa"/>
          </w:tcPr>
          <w:p w14:paraId="67338C3A" w14:textId="7D5091E6"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 xml:space="preserve">GCF Annual Project Report  </w:t>
            </w:r>
          </w:p>
        </w:tc>
        <w:tc>
          <w:tcPr>
            <w:tcW w:w="1960" w:type="dxa"/>
          </w:tcPr>
          <w:p w14:paraId="3F976D0E" w14:textId="1E782B12"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Project Manager and UNDP Country Office and UNDP-</w:t>
            </w:r>
            <w:r w:rsidR="00DA2CCA">
              <w:rPr>
                <w:rFonts w:asciiTheme="minorHAnsi" w:eastAsia="Arial" w:hAnsiTheme="minorHAnsi" w:cstheme="minorHAnsi"/>
                <w:szCs w:val="20"/>
              </w:rPr>
              <w:t xml:space="preserve"> Climate Hub</w:t>
            </w:r>
            <w:r w:rsidRPr="00AC0422">
              <w:rPr>
                <w:rFonts w:asciiTheme="minorHAnsi" w:hAnsiTheme="minorHAnsi" w:cstheme="minorHAnsi"/>
                <w:sz w:val="18"/>
                <w:szCs w:val="18"/>
              </w:rPr>
              <w:t xml:space="preserve"> Unit</w:t>
            </w:r>
          </w:p>
        </w:tc>
        <w:tc>
          <w:tcPr>
            <w:tcW w:w="1331" w:type="dxa"/>
          </w:tcPr>
          <w:p w14:paraId="2F3F7FB7" w14:textId="77777777" w:rsidR="00812AEC" w:rsidRPr="00AC0422" w:rsidRDefault="00812AEC" w:rsidP="00812AEC">
            <w:pPr>
              <w:spacing w:after="0"/>
              <w:jc w:val="left"/>
              <w:rPr>
                <w:rFonts w:asciiTheme="minorHAnsi" w:hAnsiTheme="minorHAnsi" w:cstheme="minorHAnsi"/>
                <w:sz w:val="18"/>
                <w:szCs w:val="18"/>
                <w:lang w:val="en-GB"/>
              </w:rPr>
            </w:pPr>
            <w:r w:rsidRPr="00AC0422">
              <w:rPr>
                <w:rFonts w:asciiTheme="minorHAnsi" w:hAnsiTheme="minorHAnsi" w:cstheme="minorHAnsi"/>
                <w:sz w:val="18"/>
                <w:szCs w:val="18"/>
                <w:lang w:val="en-GB"/>
              </w:rPr>
              <w:t>None</w:t>
            </w:r>
          </w:p>
        </w:tc>
        <w:tc>
          <w:tcPr>
            <w:tcW w:w="1164" w:type="dxa"/>
          </w:tcPr>
          <w:p w14:paraId="321349DA" w14:textId="77777777" w:rsidR="00812AEC" w:rsidRPr="00AC0422" w:rsidRDefault="00812AEC" w:rsidP="00812AEC">
            <w:pPr>
              <w:spacing w:after="0"/>
              <w:jc w:val="left"/>
              <w:rPr>
                <w:rFonts w:asciiTheme="minorHAnsi" w:hAnsiTheme="minorHAnsi" w:cstheme="minorHAnsi"/>
                <w:sz w:val="18"/>
                <w:szCs w:val="18"/>
                <w:lang w:val="en-GB"/>
              </w:rPr>
            </w:pPr>
            <w:r w:rsidRPr="00AC0422">
              <w:rPr>
                <w:rFonts w:asciiTheme="minorHAnsi" w:hAnsiTheme="minorHAnsi" w:cstheme="minorHAnsi"/>
                <w:sz w:val="18"/>
                <w:szCs w:val="18"/>
                <w:lang w:val="en-GB"/>
              </w:rPr>
              <w:t>None</w:t>
            </w:r>
          </w:p>
        </w:tc>
        <w:tc>
          <w:tcPr>
            <w:tcW w:w="1696" w:type="dxa"/>
          </w:tcPr>
          <w:p w14:paraId="2904F6C8" w14:textId="16FA1F4A"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Annually as per FA</w:t>
            </w:r>
          </w:p>
        </w:tc>
      </w:tr>
      <w:tr w:rsidR="00812AEC" w:rsidRPr="00AC0422" w14:paraId="51F3FDF5" w14:textId="77777777" w:rsidTr="00812AEC">
        <w:trPr>
          <w:jc w:val="center"/>
        </w:trPr>
        <w:tc>
          <w:tcPr>
            <w:tcW w:w="3089" w:type="dxa"/>
          </w:tcPr>
          <w:p w14:paraId="202A5A31"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Lessons learned, case studies, and knowledge generation</w:t>
            </w:r>
          </w:p>
        </w:tc>
        <w:tc>
          <w:tcPr>
            <w:tcW w:w="1960" w:type="dxa"/>
          </w:tcPr>
          <w:p w14:paraId="13D2CF6A"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Project Manager</w:t>
            </w:r>
          </w:p>
        </w:tc>
        <w:tc>
          <w:tcPr>
            <w:tcW w:w="1331" w:type="dxa"/>
          </w:tcPr>
          <w:p w14:paraId="196BBF2C" w14:textId="3E924D65" w:rsidR="00812AEC" w:rsidRPr="00AC0422" w:rsidRDefault="00975E6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lang w:val="en-GB"/>
              </w:rPr>
              <w:t>None</w:t>
            </w:r>
          </w:p>
        </w:tc>
        <w:tc>
          <w:tcPr>
            <w:tcW w:w="1164" w:type="dxa"/>
          </w:tcPr>
          <w:p w14:paraId="5591AE29" w14:textId="77777777" w:rsidR="00812AEC" w:rsidRPr="00AC0422" w:rsidRDefault="00812AEC" w:rsidP="00812AEC">
            <w:pPr>
              <w:spacing w:after="0"/>
              <w:jc w:val="left"/>
              <w:rPr>
                <w:rFonts w:asciiTheme="minorHAnsi" w:hAnsiTheme="minorHAnsi" w:cstheme="minorHAnsi"/>
                <w:i/>
                <w:sz w:val="18"/>
                <w:szCs w:val="18"/>
              </w:rPr>
            </w:pPr>
            <w:r w:rsidRPr="00AC0422">
              <w:rPr>
                <w:rFonts w:asciiTheme="minorHAnsi" w:hAnsiTheme="minorHAnsi" w:cstheme="minorHAnsi"/>
                <w:i/>
                <w:sz w:val="18"/>
                <w:szCs w:val="18"/>
              </w:rPr>
              <w:t>add</w:t>
            </w:r>
          </w:p>
        </w:tc>
        <w:tc>
          <w:tcPr>
            <w:tcW w:w="1696" w:type="dxa"/>
          </w:tcPr>
          <w:p w14:paraId="50D3370E"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Annually</w:t>
            </w:r>
          </w:p>
        </w:tc>
      </w:tr>
      <w:tr w:rsidR="00812AEC" w:rsidRPr="00AC0422" w14:paraId="148CC76B" w14:textId="77777777" w:rsidTr="00812AEC">
        <w:trPr>
          <w:jc w:val="center"/>
        </w:trPr>
        <w:tc>
          <w:tcPr>
            <w:tcW w:w="3089" w:type="dxa"/>
          </w:tcPr>
          <w:p w14:paraId="18629319"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Project Board meetings</w:t>
            </w:r>
          </w:p>
        </w:tc>
        <w:tc>
          <w:tcPr>
            <w:tcW w:w="1960" w:type="dxa"/>
          </w:tcPr>
          <w:p w14:paraId="18B1D98F"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Project Board</w:t>
            </w:r>
          </w:p>
          <w:p w14:paraId="79F4149E"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UNDP Country Office</w:t>
            </w:r>
          </w:p>
          <w:p w14:paraId="23C7F127"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Project Manager</w:t>
            </w:r>
          </w:p>
        </w:tc>
        <w:tc>
          <w:tcPr>
            <w:tcW w:w="1331" w:type="dxa"/>
          </w:tcPr>
          <w:p w14:paraId="487B3378" w14:textId="77777777" w:rsidR="00812AEC" w:rsidRPr="00AC0422" w:rsidRDefault="00812AEC" w:rsidP="00812AEC">
            <w:pPr>
              <w:spacing w:after="0"/>
              <w:jc w:val="left"/>
              <w:rPr>
                <w:rFonts w:asciiTheme="minorHAnsi" w:hAnsiTheme="minorHAnsi" w:cstheme="minorHAnsi"/>
                <w:i/>
                <w:sz w:val="18"/>
                <w:szCs w:val="18"/>
              </w:rPr>
            </w:pPr>
            <w:r w:rsidRPr="00AC0422">
              <w:rPr>
                <w:rFonts w:asciiTheme="minorHAnsi" w:hAnsiTheme="minorHAnsi" w:cstheme="minorHAnsi"/>
                <w:sz w:val="18"/>
                <w:szCs w:val="18"/>
                <w:lang w:val="en-GB"/>
              </w:rPr>
              <w:t>None</w:t>
            </w:r>
          </w:p>
        </w:tc>
        <w:tc>
          <w:tcPr>
            <w:tcW w:w="1164" w:type="dxa"/>
          </w:tcPr>
          <w:p w14:paraId="39725551" w14:textId="77777777" w:rsidR="00812AEC" w:rsidRPr="00AC0422" w:rsidRDefault="00812AEC" w:rsidP="00812AEC">
            <w:pPr>
              <w:spacing w:after="0"/>
              <w:jc w:val="left"/>
              <w:rPr>
                <w:rFonts w:asciiTheme="minorHAnsi" w:hAnsiTheme="minorHAnsi" w:cstheme="minorHAnsi"/>
                <w:i/>
                <w:sz w:val="18"/>
                <w:szCs w:val="18"/>
              </w:rPr>
            </w:pPr>
            <w:r w:rsidRPr="00AC0422">
              <w:rPr>
                <w:rFonts w:asciiTheme="minorHAnsi" w:hAnsiTheme="minorHAnsi" w:cstheme="minorHAnsi"/>
                <w:i/>
                <w:sz w:val="18"/>
                <w:szCs w:val="18"/>
              </w:rPr>
              <w:t>None</w:t>
            </w:r>
          </w:p>
        </w:tc>
        <w:tc>
          <w:tcPr>
            <w:tcW w:w="1696" w:type="dxa"/>
          </w:tcPr>
          <w:p w14:paraId="723FCC47"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At minimum annually</w:t>
            </w:r>
          </w:p>
        </w:tc>
      </w:tr>
      <w:tr w:rsidR="00812AEC" w:rsidRPr="00AC0422" w14:paraId="2D776DA9" w14:textId="77777777" w:rsidTr="00812AEC">
        <w:trPr>
          <w:jc w:val="center"/>
        </w:trPr>
        <w:tc>
          <w:tcPr>
            <w:tcW w:w="3089" w:type="dxa"/>
          </w:tcPr>
          <w:p w14:paraId="77CAFEA7"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Supervision missions</w:t>
            </w:r>
          </w:p>
        </w:tc>
        <w:tc>
          <w:tcPr>
            <w:tcW w:w="1960" w:type="dxa"/>
          </w:tcPr>
          <w:p w14:paraId="41984202"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sz w:val="18"/>
                <w:szCs w:val="18"/>
              </w:rPr>
              <w:t>UNDP Country Office</w:t>
            </w:r>
          </w:p>
        </w:tc>
        <w:tc>
          <w:tcPr>
            <w:tcW w:w="1331" w:type="dxa"/>
          </w:tcPr>
          <w:p w14:paraId="09290B97" w14:textId="77777777" w:rsidR="00812AEC" w:rsidRPr="00AC0422" w:rsidRDefault="00812AEC" w:rsidP="00812AEC">
            <w:pPr>
              <w:spacing w:after="0"/>
              <w:jc w:val="left"/>
              <w:rPr>
                <w:rFonts w:asciiTheme="minorHAnsi" w:hAnsiTheme="minorHAnsi" w:cstheme="minorHAnsi"/>
                <w:sz w:val="18"/>
                <w:szCs w:val="18"/>
                <w:lang w:val="en-GB"/>
              </w:rPr>
            </w:pPr>
            <w:r w:rsidRPr="00AC0422">
              <w:rPr>
                <w:rFonts w:asciiTheme="minorHAnsi" w:hAnsiTheme="minorHAnsi" w:cstheme="minorHAnsi"/>
                <w:sz w:val="18"/>
                <w:szCs w:val="18"/>
                <w:lang w:val="en-GB"/>
              </w:rPr>
              <w:t>None</w:t>
            </w:r>
            <w:bookmarkStart w:id="34" w:name="_Ref434335281"/>
            <w:r w:rsidRPr="00AC0422">
              <w:rPr>
                <w:rFonts w:asciiTheme="minorHAnsi" w:hAnsiTheme="minorHAnsi" w:cstheme="minorHAnsi"/>
                <w:b/>
                <w:sz w:val="18"/>
                <w:szCs w:val="18"/>
                <w:vertAlign w:val="superscript"/>
              </w:rPr>
              <w:footnoteReference w:id="22"/>
            </w:r>
            <w:bookmarkEnd w:id="34"/>
          </w:p>
        </w:tc>
        <w:tc>
          <w:tcPr>
            <w:tcW w:w="1164" w:type="dxa"/>
          </w:tcPr>
          <w:p w14:paraId="06AE5090" w14:textId="7BE30F2C" w:rsidR="00812AEC" w:rsidRPr="00AC0422" w:rsidRDefault="00EF553F" w:rsidP="00812AEC">
            <w:pPr>
              <w:spacing w:after="0"/>
              <w:jc w:val="left"/>
              <w:rPr>
                <w:rFonts w:asciiTheme="minorHAnsi" w:hAnsiTheme="minorHAnsi" w:cstheme="minorHAnsi"/>
                <w:sz w:val="18"/>
                <w:szCs w:val="18"/>
                <w:lang w:val="en-GB"/>
              </w:rPr>
            </w:pPr>
            <w:r w:rsidRPr="00AC0422">
              <w:rPr>
                <w:rFonts w:asciiTheme="minorHAnsi" w:hAnsiTheme="minorHAnsi" w:cstheme="minorHAnsi"/>
                <w:iCs/>
                <w:sz w:val="18"/>
                <w:szCs w:val="18"/>
              </w:rPr>
              <w:t>None</w:t>
            </w:r>
          </w:p>
        </w:tc>
        <w:tc>
          <w:tcPr>
            <w:tcW w:w="1696" w:type="dxa"/>
          </w:tcPr>
          <w:p w14:paraId="68555A55" w14:textId="22C59498"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Two per year</w:t>
            </w:r>
          </w:p>
        </w:tc>
      </w:tr>
      <w:tr w:rsidR="00812AEC" w:rsidRPr="00AC0422" w14:paraId="761CAE5C" w14:textId="77777777" w:rsidTr="00812AEC">
        <w:trPr>
          <w:jc w:val="center"/>
        </w:trPr>
        <w:tc>
          <w:tcPr>
            <w:tcW w:w="3089" w:type="dxa"/>
          </w:tcPr>
          <w:p w14:paraId="59B6ACC2"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Oversight missions</w:t>
            </w:r>
          </w:p>
        </w:tc>
        <w:tc>
          <w:tcPr>
            <w:tcW w:w="1960" w:type="dxa"/>
          </w:tcPr>
          <w:p w14:paraId="500E6970" w14:textId="71AC525A"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sz w:val="18"/>
                <w:szCs w:val="18"/>
              </w:rPr>
              <w:t>UNDP-</w:t>
            </w:r>
            <w:r w:rsidR="00DA2CCA">
              <w:rPr>
                <w:rFonts w:asciiTheme="minorHAnsi" w:eastAsia="Arial" w:hAnsiTheme="minorHAnsi" w:cstheme="minorHAnsi"/>
                <w:szCs w:val="20"/>
              </w:rPr>
              <w:t xml:space="preserve"> Climate Hub</w:t>
            </w:r>
            <w:r w:rsidRPr="00AC0422">
              <w:rPr>
                <w:rFonts w:asciiTheme="minorHAnsi" w:hAnsiTheme="minorHAnsi" w:cstheme="minorHAnsi"/>
                <w:sz w:val="18"/>
                <w:szCs w:val="18"/>
              </w:rPr>
              <w:t xml:space="preserve"> Unit</w:t>
            </w:r>
          </w:p>
        </w:tc>
        <w:tc>
          <w:tcPr>
            <w:tcW w:w="1331" w:type="dxa"/>
          </w:tcPr>
          <w:p w14:paraId="53EFDB28" w14:textId="739593B7" w:rsidR="00812AEC" w:rsidRPr="00AC0422" w:rsidRDefault="00812AEC" w:rsidP="00812AEC">
            <w:pPr>
              <w:spacing w:after="0"/>
              <w:jc w:val="left"/>
              <w:rPr>
                <w:rFonts w:asciiTheme="minorHAnsi" w:hAnsiTheme="minorHAnsi" w:cstheme="minorHAnsi"/>
                <w:sz w:val="18"/>
                <w:szCs w:val="18"/>
                <w:lang w:val="en-GB"/>
              </w:rPr>
            </w:pPr>
            <w:r w:rsidRPr="00AC0422">
              <w:rPr>
                <w:rFonts w:asciiTheme="minorHAnsi" w:hAnsiTheme="minorHAnsi" w:cstheme="minorHAnsi"/>
                <w:sz w:val="18"/>
                <w:szCs w:val="18"/>
                <w:lang w:val="en-GB"/>
              </w:rPr>
              <w:t>None</w:t>
            </w:r>
            <w:r w:rsidRPr="00AC0422">
              <w:rPr>
                <w:rFonts w:asciiTheme="minorHAnsi" w:hAnsiTheme="minorHAnsi" w:cstheme="minorHAnsi"/>
                <w:sz w:val="18"/>
                <w:szCs w:val="18"/>
                <w:lang w:val="en-GB"/>
              </w:rPr>
              <w:fldChar w:fldCharType="begin"/>
            </w:r>
            <w:r w:rsidRPr="00AC0422">
              <w:rPr>
                <w:rFonts w:asciiTheme="minorHAnsi" w:hAnsiTheme="minorHAnsi" w:cstheme="minorHAnsi"/>
                <w:sz w:val="18"/>
                <w:szCs w:val="18"/>
                <w:lang w:val="en-GB"/>
              </w:rPr>
              <w:instrText xml:space="preserve"> NOTEREF _Ref434335281 \f \h </w:instrText>
            </w:r>
            <w:r w:rsidR="003F3926" w:rsidRPr="00AC0422">
              <w:rPr>
                <w:rFonts w:asciiTheme="minorHAnsi" w:hAnsiTheme="minorHAnsi" w:cstheme="minorHAnsi"/>
                <w:sz w:val="18"/>
                <w:szCs w:val="18"/>
                <w:lang w:val="en-GB"/>
              </w:rPr>
              <w:instrText xml:space="preserve"> \* MERGEFORMAT </w:instrText>
            </w:r>
            <w:r w:rsidRPr="00AC0422">
              <w:rPr>
                <w:rFonts w:asciiTheme="minorHAnsi" w:hAnsiTheme="minorHAnsi" w:cstheme="minorHAnsi"/>
                <w:sz w:val="18"/>
                <w:szCs w:val="18"/>
                <w:lang w:val="en-GB"/>
              </w:rPr>
            </w:r>
            <w:r w:rsidRPr="00AC0422">
              <w:rPr>
                <w:rFonts w:asciiTheme="minorHAnsi" w:hAnsiTheme="minorHAnsi" w:cstheme="minorHAnsi"/>
                <w:sz w:val="18"/>
                <w:szCs w:val="18"/>
                <w:lang w:val="en-GB"/>
              </w:rPr>
              <w:fldChar w:fldCharType="separate"/>
            </w:r>
            <w:r w:rsidRPr="00AC0422">
              <w:rPr>
                <w:rFonts w:asciiTheme="minorHAnsi" w:hAnsiTheme="minorHAnsi" w:cstheme="minorHAnsi"/>
                <w:sz w:val="18"/>
                <w:szCs w:val="18"/>
                <w:vertAlign w:val="superscript"/>
              </w:rPr>
              <w:t>6</w:t>
            </w:r>
            <w:r w:rsidRPr="00AC0422">
              <w:rPr>
                <w:rFonts w:asciiTheme="minorHAnsi" w:hAnsiTheme="minorHAnsi" w:cstheme="minorHAnsi"/>
                <w:sz w:val="18"/>
                <w:szCs w:val="18"/>
              </w:rPr>
              <w:fldChar w:fldCharType="end"/>
            </w:r>
          </w:p>
        </w:tc>
        <w:tc>
          <w:tcPr>
            <w:tcW w:w="1164" w:type="dxa"/>
          </w:tcPr>
          <w:p w14:paraId="33B775D5" w14:textId="50C9F9BA" w:rsidR="00812AEC" w:rsidRPr="00AC0422" w:rsidRDefault="00EF553F" w:rsidP="00812AEC">
            <w:pPr>
              <w:spacing w:after="0"/>
              <w:jc w:val="left"/>
              <w:rPr>
                <w:rFonts w:asciiTheme="minorHAnsi" w:hAnsiTheme="minorHAnsi" w:cstheme="minorHAnsi"/>
                <w:sz w:val="18"/>
                <w:szCs w:val="18"/>
                <w:lang w:val="en-GB"/>
              </w:rPr>
            </w:pPr>
            <w:r w:rsidRPr="00AC0422">
              <w:rPr>
                <w:rFonts w:asciiTheme="minorHAnsi" w:hAnsiTheme="minorHAnsi" w:cstheme="minorHAnsi"/>
                <w:iCs/>
                <w:sz w:val="18"/>
                <w:szCs w:val="18"/>
              </w:rPr>
              <w:t>None</w:t>
            </w:r>
          </w:p>
        </w:tc>
        <w:tc>
          <w:tcPr>
            <w:tcW w:w="1696" w:type="dxa"/>
          </w:tcPr>
          <w:p w14:paraId="2030403A"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Troubleshooting as needed</w:t>
            </w:r>
          </w:p>
        </w:tc>
      </w:tr>
      <w:tr w:rsidR="00812AEC" w:rsidRPr="00AC0422" w14:paraId="094C0586" w14:textId="77777777" w:rsidTr="00812AEC">
        <w:trPr>
          <w:jc w:val="center"/>
        </w:trPr>
        <w:tc>
          <w:tcPr>
            <w:tcW w:w="3089" w:type="dxa"/>
          </w:tcPr>
          <w:p w14:paraId="4559EF97"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lastRenderedPageBreak/>
              <w:t xml:space="preserve">GCF learning missions/site visits </w:t>
            </w:r>
          </w:p>
        </w:tc>
        <w:tc>
          <w:tcPr>
            <w:tcW w:w="1960" w:type="dxa"/>
          </w:tcPr>
          <w:p w14:paraId="26494A8D" w14:textId="430B21D3"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UNDP Country Office and Project Manager and UNDP-</w:t>
            </w:r>
            <w:r w:rsidR="00DA2CCA">
              <w:rPr>
                <w:rFonts w:asciiTheme="minorHAnsi" w:eastAsia="Arial" w:hAnsiTheme="minorHAnsi" w:cstheme="minorHAnsi"/>
                <w:szCs w:val="20"/>
              </w:rPr>
              <w:t xml:space="preserve"> Climate Hub</w:t>
            </w:r>
            <w:r w:rsidRPr="00AC0422">
              <w:rPr>
                <w:rFonts w:asciiTheme="minorHAnsi" w:hAnsiTheme="minorHAnsi" w:cstheme="minorHAnsi"/>
                <w:sz w:val="18"/>
                <w:szCs w:val="18"/>
              </w:rPr>
              <w:t xml:space="preserve"> Unit</w:t>
            </w:r>
          </w:p>
        </w:tc>
        <w:tc>
          <w:tcPr>
            <w:tcW w:w="1331" w:type="dxa"/>
          </w:tcPr>
          <w:p w14:paraId="64BDBCC4" w14:textId="6F7E4064" w:rsidR="00812AEC" w:rsidRPr="00AC0422" w:rsidRDefault="00BC0554" w:rsidP="00812AEC">
            <w:pPr>
              <w:spacing w:after="0"/>
              <w:jc w:val="left"/>
              <w:rPr>
                <w:rFonts w:asciiTheme="minorHAnsi" w:hAnsiTheme="minorHAnsi" w:cstheme="minorHAnsi"/>
                <w:i/>
                <w:sz w:val="18"/>
                <w:szCs w:val="18"/>
                <w:lang w:val="en-GB"/>
              </w:rPr>
            </w:pPr>
            <w:r w:rsidRPr="00AC0422">
              <w:rPr>
                <w:rFonts w:asciiTheme="minorHAnsi" w:hAnsiTheme="minorHAnsi" w:cstheme="minorHAnsi"/>
                <w:iCs/>
                <w:sz w:val="18"/>
                <w:szCs w:val="18"/>
                <w:lang w:val="en-GB"/>
              </w:rPr>
              <w:t>None</w:t>
            </w:r>
          </w:p>
        </w:tc>
        <w:tc>
          <w:tcPr>
            <w:tcW w:w="1164" w:type="dxa"/>
          </w:tcPr>
          <w:p w14:paraId="5DFF9839" w14:textId="597924C7" w:rsidR="00812AEC" w:rsidRPr="00AC0422" w:rsidRDefault="00EF553F" w:rsidP="00812AEC">
            <w:pPr>
              <w:spacing w:after="0"/>
              <w:jc w:val="left"/>
              <w:rPr>
                <w:rFonts w:asciiTheme="minorHAnsi" w:hAnsiTheme="minorHAnsi" w:cstheme="minorHAnsi"/>
                <w:sz w:val="18"/>
                <w:szCs w:val="18"/>
                <w:lang w:val="en-GB"/>
              </w:rPr>
            </w:pPr>
            <w:r w:rsidRPr="00AC0422">
              <w:rPr>
                <w:rFonts w:asciiTheme="minorHAnsi" w:hAnsiTheme="minorHAnsi" w:cstheme="minorHAnsi"/>
                <w:iCs/>
                <w:sz w:val="18"/>
                <w:szCs w:val="18"/>
              </w:rPr>
              <w:t>None</w:t>
            </w:r>
          </w:p>
        </w:tc>
        <w:tc>
          <w:tcPr>
            <w:tcW w:w="1696" w:type="dxa"/>
          </w:tcPr>
          <w:p w14:paraId="317FA790"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To be determined.</w:t>
            </w:r>
          </w:p>
        </w:tc>
      </w:tr>
      <w:tr w:rsidR="00812AEC" w:rsidRPr="00AC0422" w14:paraId="73445884" w14:textId="77777777" w:rsidTr="00812AEC">
        <w:trPr>
          <w:jc w:val="center"/>
        </w:trPr>
        <w:tc>
          <w:tcPr>
            <w:tcW w:w="3089" w:type="dxa"/>
          </w:tcPr>
          <w:p w14:paraId="447CA0B9" w14:textId="1784C83A" w:rsidR="00812AEC" w:rsidRPr="00AC0422" w:rsidRDefault="00AF5B80"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 xml:space="preserve">End-of-project </w:t>
            </w:r>
            <w:r w:rsidR="00F84888" w:rsidRPr="00AC0422">
              <w:rPr>
                <w:rFonts w:asciiTheme="minorHAnsi" w:hAnsiTheme="minorHAnsi" w:cstheme="minorHAnsi"/>
                <w:b/>
                <w:sz w:val="18"/>
                <w:szCs w:val="18"/>
              </w:rPr>
              <w:t xml:space="preserve">review </w:t>
            </w:r>
            <w:r w:rsidRPr="00AC0422">
              <w:rPr>
                <w:rFonts w:asciiTheme="minorHAnsi" w:hAnsiTheme="minorHAnsi" w:cstheme="minorHAnsi"/>
                <w:b/>
                <w:sz w:val="18"/>
                <w:szCs w:val="18"/>
              </w:rPr>
              <w:t>workshop</w:t>
            </w:r>
          </w:p>
        </w:tc>
        <w:tc>
          <w:tcPr>
            <w:tcW w:w="1960" w:type="dxa"/>
          </w:tcPr>
          <w:p w14:paraId="7C2EB823" w14:textId="7EB3C305"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UNDP Country Office and Project team and UNDP-</w:t>
            </w:r>
            <w:r w:rsidR="00DA2CCA">
              <w:rPr>
                <w:rFonts w:asciiTheme="minorHAnsi" w:eastAsia="Arial" w:hAnsiTheme="minorHAnsi" w:cstheme="minorHAnsi"/>
                <w:szCs w:val="20"/>
              </w:rPr>
              <w:t xml:space="preserve"> Climate Hub</w:t>
            </w:r>
            <w:r w:rsidRPr="00AC0422">
              <w:rPr>
                <w:rFonts w:asciiTheme="minorHAnsi" w:hAnsiTheme="minorHAnsi" w:cstheme="minorHAnsi"/>
                <w:sz w:val="18"/>
                <w:szCs w:val="18"/>
              </w:rPr>
              <w:t xml:space="preserve"> Unit</w:t>
            </w:r>
          </w:p>
        </w:tc>
        <w:tc>
          <w:tcPr>
            <w:tcW w:w="1331" w:type="dxa"/>
          </w:tcPr>
          <w:p w14:paraId="275B1C3D" w14:textId="62AEF2E4" w:rsidR="00812AEC" w:rsidRPr="00AC0422" w:rsidRDefault="00AC0422" w:rsidP="00812AEC">
            <w:pPr>
              <w:spacing w:after="0"/>
              <w:jc w:val="left"/>
              <w:rPr>
                <w:rFonts w:asciiTheme="minorHAnsi" w:hAnsiTheme="minorHAnsi" w:cstheme="minorHAnsi"/>
                <w:sz w:val="18"/>
                <w:szCs w:val="18"/>
              </w:rPr>
            </w:pPr>
            <w:r>
              <w:rPr>
                <w:rFonts w:asciiTheme="minorHAnsi" w:hAnsiTheme="minorHAnsi" w:cstheme="minorHAnsi"/>
                <w:sz w:val="18"/>
                <w:szCs w:val="18"/>
              </w:rPr>
              <w:t>10,000</w:t>
            </w:r>
          </w:p>
        </w:tc>
        <w:tc>
          <w:tcPr>
            <w:tcW w:w="1164" w:type="dxa"/>
          </w:tcPr>
          <w:p w14:paraId="6D571E02" w14:textId="0D522289" w:rsidR="00812AEC" w:rsidRPr="00AC0422" w:rsidRDefault="00A50076" w:rsidP="00812AEC">
            <w:pPr>
              <w:spacing w:after="0"/>
              <w:jc w:val="left"/>
              <w:rPr>
                <w:rFonts w:asciiTheme="minorHAnsi" w:hAnsiTheme="minorHAnsi" w:cstheme="minorHAnsi"/>
                <w:sz w:val="18"/>
                <w:szCs w:val="18"/>
              </w:rPr>
            </w:pPr>
            <w:r w:rsidRPr="00AC0422">
              <w:rPr>
                <w:rFonts w:asciiTheme="minorHAnsi" w:hAnsiTheme="minorHAnsi" w:cstheme="minorHAnsi"/>
                <w:i/>
                <w:sz w:val="18"/>
                <w:szCs w:val="18"/>
              </w:rPr>
              <w:t>None</w:t>
            </w:r>
          </w:p>
        </w:tc>
        <w:tc>
          <w:tcPr>
            <w:tcW w:w="1696" w:type="dxa"/>
          </w:tcPr>
          <w:p w14:paraId="4227285D" w14:textId="5A176229" w:rsidR="00812AEC" w:rsidRPr="00AC0422" w:rsidRDefault="00470F53"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Q4 Y3</w:t>
            </w:r>
          </w:p>
        </w:tc>
      </w:tr>
      <w:tr w:rsidR="00812AEC" w:rsidRPr="00AC0422" w14:paraId="7D37718B" w14:textId="77777777" w:rsidTr="00812AEC">
        <w:trPr>
          <w:jc w:val="center"/>
        </w:trPr>
        <w:tc>
          <w:tcPr>
            <w:tcW w:w="3089" w:type="dxa"/>
          </w:tcPr>
          <w:p w14:paraId="2004ACE7" w14:textId="4E1DB44E"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Translation of reports into English</w:t>
            </w:r>
          </w:p>
        </w:tc>
        <w:tc>
          <w:tcPr>
            <w:tcW w:w="1960" w:type="dxa"/>
          </w:tcPr>
          <w:p w14:paraId="6E69D196"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UNDP Country Office</w:t>
            </w:r>
          </w:p>
        </w:tc>
        <w:tc>
          <w:tcPr>
            <w:tcW w:w="1331" w:type="dxa"/>
          </w:tcPr>
          <w:p w14:paraId="6C9A661E" w14:textId="3708B99F" w:rsidR="00812AEC" w:rsidRPr="00AC0422" w:rsidRDefault="00A50076"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None</w:t>
            </w:r>
          </w:p>
        </w:tc>
        <w:tc>
          <w:tcPr>
            <w:tcW w:w="1164" w:type="dxa"/>
          </w:tcPr>
          <w:p w14:paraId="7A4C8C33" w14:textId="7E21A966" w:rsidR="00812AEC" w:rsidRPr="00AC0422" w:rsidRDefault="00A50076"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None</w:t>
            </w:r>
          </w:p>
        </w:tc>
        <w:tc>
          <w:tcPr>
            <w:tcW w:w="1696" w:type="dxa"/>
          </w:tcPr>
          <w:p w14:paraId="65AB71BE"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As required.  GCF will only accept reports in English.</w:t>
            </w:r>
          </w:p>
        </w:tc>
      </w:tr>
      <w:tr w:rsidR="00812AEC" w:rsidRPr="00AC0422" w14:paraId="5255A7E3" w14:textId="77777777" w:rsidTr="00A50076">
        <w:trPr>
          <w:cantSplit/>
          <w:trHeight w:val="710"/>
          <w:jc w:val="center"/>
        </w:trPr>
        <w:tc>
          <w:tcPr>
            <w:tcW w:w="5049" w:type="dxa"/>
            <w:gridSpan w:val="2"/>
            <w:shd w:val="clear" w:color="auto" w:fill="E6E6E6"/>
          </w:tcPr>
          <w:p w14:paraId="530BD46F" w14:textId="77777777" w:rsidR="00812AEC" w:rsidRPr="00AC0422" w:rsidRDefault="00812AEC" w:rsidP="00812AEC">
            <w:pPr>
              <w:spacing w:after="0"/>
              <w:jc w:val="left"/>
              <w:rPr>
                <w:rFonts w:asciiTheme="minorHAnsi" w:hAnsiTheme="minorHAnsi" w:cstheme="minorHAnsi"/>
                <w:b/>
                <w:sz w:val="18"/>
                <w:szCs w:val="18"/>
              </w:rPr>
            </w:pPr>
            <w:r w:rsidRPr="00AC0422">
              <w:rPr>
                <w:rFonts w:asciiTheme="minorHAnsi" w:hAnsiTheme="minorHAnsi" w:cstheme="minorHAnsi"/>
                <w:b/>
                <w:sz w:val="18"/>
                <w:szCs w:val="18"/>
              </w:rPr>
              <w:t xml:space="preserve">TOTAL indicative COST </w:t>
            </w:r>
          </w:p>
          <w:p w14:paraId="07E198BE" w14:textId="77777777" w:rsidR="00812AEC" w:rsidRPr="00AC0422" w:rsidRDefault="00812AEC" w:rsidP="00812AEC">
            <w:pPr>
              <w:spacing w:after="0"/>
              <w:jc w:val="left"/>
              <w:rPr>
                <w:rFonts w:asciiTheme="minorHAnsi" w:hAnsiTheme="minorHAnsi" w:cstheme="minorHAnsi"/>
                <w:sz w:val="18"/>
                <w:szCs w:val="18"/>
              </w:rPr>
            </w:pPr>
            <w:r w:rsidRPr="00AC0422">
              <w:rPr>
                <w:rFonts w:asciiTheme="minorHAnsi" w:hAnsiTheme="minorHAnsi" w:cstheme="minorHAnsi"/>
                <w:sz w:val="18"/>
                <w:szCs w:val="18"/>
              </w:rPr>
              <w:t xml:space="preserve">Excluding project team staff time, and UNDP staff and travel expenses </w:t>
            </w:r>
          </w:p>
        </w:tc>
        <w:tc>
          <w:tcPr>
            <w:tcW w:w="1331" w:type="dxa"/>
            <w:shd w:val="clear" w:color="auto" w:fill="E6E6E6"/>
            <w:vAlign w:val="center"/>
          </w:tcPr>
          <w:p w14:paraId="74AD7282" w14:textId="0DF0D6B1" w:rsidR="00812AEC" w:rsidRPr="00AC0422" w:rsidRDefault="00821038" w:rsidP="00A50076">
            <w:pPr>
              <w:spacing w:after="0"/>
              <w:jc w:val="center"/>
              <w:rPr>
                <w:rFonts w:asciiTheme="minorHAnsi" w:hAnsiTheme="minorHAnsi" w:cstheme="minorHAnsi"/>
                <w:i/>
                <w:sz w:val="18"/>
                <w:szCs w:val="18"/>
              </w:rPr>
            </w:pPr>
            <w:r w:rsidRPr="00AC0422">
              <w:rPr>
                <w:rFonts w:asciiTheme="minorHAnsi" w:hAnsiTheme="minorHAnsi" w:cstheme="minorHAnsi"/>
                <w:i/>
                <w:sz w:val="18"/>
                <w:szCs w:val="18"/>
              </w:rPr>
              <w:t>USD</w:t>
            </w:r>
            <w:r w:rsidR="00AC0422">
              <w:rPr>
                <w:rFonts w:asciiTheme="minorHAnsi" w:hAnsiTheme="minorHAnsi" w:cstheme="minorHAnsi"/>
                <w:i/>
                <w:sz w:val="18"/>
                <w:szCs w:val="18"/>
              </w:rPr>
              <w:t xml:space="preserve"> </w:t>
            </w:r>
            <w:r w:rsidRPr="00AC0422">
              <w:rPr>
                <w:rFonts w:asciiTheme="minorHAnsi" w:hAnsiTheme="minorHAnsi" w:cstheme="minorHAnsi"/>
                <w:i/>
                <w:sz w:val="18"/>
                <w:szCs w:val="18"/>
              </w:rPr>
              <w:fldChar w:fldCharType="begin"/>
            </w:r>
            <w:r w:rsidRPr="00AC0422">
              <w:rPr>
                <w:rFonts w:asciiTheme="minorHAnsi" w:hAnsiTheme="minorHAnsi" w:cstheme="minorHAnsi"/>
                <w:i/>
                <w:sz w:val="18"/>
                <w:szCs w:val="18"/>
              </w:rPr>
              <w:instrText xml:space="preserve"> =8,000+(4,500*3)+26,000+3,000 </w:instrText>
            </w:r>
            <w:r w:rsidRPr="00AC0422">
              <w:rPr>
                <w:rFonts w:asciiTheme="minorHAnsi" w:hAnsiTheme="minorHAnsi" w:cstheme="minorHAnsi"/>
                <w:i/>
                <w:sz w:val="18"/>
                <w:szCs w:val="18"/>
              </w:rPr>
              <w:fldChar w:fldCharType="separate"/>
            </w:r>
            <w:r w:rsidR="00AC0422">
              <w:rPr>
                <w:rFonts w:asciiTheme="minorHAnsi" w:hAnsiTheme="minorHAnsi" w:cstheme="minorHAnsi"/>
                <w:i/>
                <w:sz w:val="18"/>
                <w:szCs w:val="18"/>
              </w:rPr>
              <w:t>1</w:t>
            </w:r>
            <w:r w:rsidR="00266F44">
              <w:rPr>
                <w:rFonts w:asciiTheme="minorHAnsi" w:hAnsiTheme="minorHAnsi" w:cstheme="minorHAnsi"/>
                <w:i/>
                <w:sz w:val="18"/>
                <w:szCs w:val="18"/>
              </w:rPr>
              <w:t>5</w:t>
            </w:r>
            <w:r w:rsidR="00A50076" w:rsidRPr="00AC0422">
              <w:rPr>
                <w:rFonts w:asciiTheme="minorHAnsi" w:hAnsiTheme="minorHAnsi" w:cstheme="minorHAnsi"/>
                <w:i/>
                <w:noProof/>
                <w:sz w:val="18"/>
                <w:szCs w:val="18"/>
              </w:rPr>
              <w:t>,</w:t>
            </w:r>
            <w:r w:rsidRPr="00AC0422">
              <w:rPr>
                <w:rFonts w:asciiTheme="minorHAnsi" w:hAnsiTheme="minorHAnsi" w:cstheme="minorHAnsi"/>
                <w:i/>
                <w:noProof/>
                <w:sz w:val="18"/>
                <w:szCs w:val="18"/>
              </w:rPr>
              <w:t>000</w:t>
            </w:r>
            <w:r w:rsidRPr="00AC0422">
              <w:rPr>
                <w:rFonts w:asciiTheme="minorHAnsi" w:hAnsiTheme="minorHAnsi" w:cstheme="minorHAnsi"/>
                <w:i/>
                <w:sz w:val="18"/>
                <w:szCs w:val="18"/>
              </w:rPr>
              <w:fldChar w:fldCharType="end"/>
            </w:r>
          </w:p>
        </w:tc>
        <w:tc>
          <w:tcPr>
            <w:tcW w:w="1164" w:type="dxa"/>
            <w:shd w:val="clear" w:color="auto" w:fill="E6E6E6"/>
            <w:vAlign w:val="center"/>
          </w:tcPr>
          <w:p w14:paraId="3D0EDBFD" w14:textId="59A8D686" w:rsidR="00812AEC" w:rsidRPr="00AC0422" w:rsidRDefault="00A50076" w:rsidP="00A50076">
            <w:pPr>
              <w:spacing w:after="0"/>
              <w:jc w:val="center"/>
              <w:rPr>
                <w:rFonts w:asciiTheme="minorHAnsi" w:hAnsiTheme="minorHAnsi" w:cstheme="minorHAnsi"/>
                <w:i/>
                <w:sz w:val="18"/>
                <w:szCs w:val="18"/>
              </w:rPr>
            </w:pPr>
            <w:r w:rsidRPr="00AC0422">
              <w:rPr>
                <w:rFonts w:asciiTheme="minorHAnsi" w:hAnsiTheme="minorHAnsi" w:cstheme="minorHAnsi"/>
                <w:i/>
                <w:sz w:val="18"/>
                <w:szCs w:val="18"/>
              </w:rPr>
              <w:t>None</w:t>
            </w:r>
          </w:p>
        </w:tc>
        <w:tc>
          <w:tcPr>
            <w:tcW w:w="1696" w:type="dxa"/>
            <w:shd w:val="clear" w:color="auto" w:fill="E6E6E6"/>
          </w:tcPr>
          <w:p w14:paraId="7E1A4F00" w14:textId="77777777" w:rsidR="00812AEC" w:rsidRPr="00AC0422" w:rsidRDefault="00812AEC" w:rsidP="00812AEC">
            <w:pPr>
              <w:spacing w:after="0"/>
              <w:jc w:val="left"/>
              <w:rPr>
                <w:rFonts w:asciiTheme="minorHAnsi" w:hAnsiTheme="minorHAnsi" w:cstheme="minorHAnsi"/>
                <w:sz w:val="18"/>
                <w:szCs w:val="18"/>
              </w:rPr>
            </w:pPr>
          </w:p>
        </w:tc>
      </w:tr>
    </w:tbl>
    <w:p w14:paraId="3B169717" w14:textId="77777777" w:rsidR="00812AEC" w:rsidRPr="00AC0422" w:rsidRDefault="00812AEC" w:rsidP="00812AEC">
      <w:pPr>
        <w:spacing w:after="0"/>
        <w:jc w:val="left"/>
        <w:rPr>
          <w:rFonts w:asciiTheme="minorHAnsi" w:hAnsiTheme="minorHAnsi" w:cstheme="minorHAnsi"/>
          <w:b/>
          <w:bCs/>
          <w:szCs w:val="20"/>
        </w:rPr>
      </w:pPr>
    </w:p>
    <w:p w14:paraId="42AF7C78" w14:textId="47CDDB20" w:rsidR="00812AEC" w:rsidRPr="00AC0422" w:rsidRDefault="00812AEC" w:rsidP="00812AEC">
      <w:pPr>
        <w:rPr>
          <w:rFonts w:asciiTheme="minorHAnsi" w:hAnsiTheme="minorHAnsi" w:cstheme="minorHAnsi"/>
        </w:rPr>
      </w:pPr>
    </w:p>
    <w:p w14:paraId="3F5C470C" w14:textId="77777777" w:rsidR="00812AEC" w:rsidRPr="00AC0422" w:rsidRDefault="00812AEC" w:rsidP="00812AEC">
      <w:pPr>
        <w:rPr>
          <w:rFonts w:asciiTheme="minorHAnsi" w:hAnsiTheme="minorHAnsi" w:cstheme="minorHAnsi"/>
        </w:rPr>
      </w:pPr>
    </w:p>
    <w:p w14:paraId="33E17C61" w14:textId="404A0FD2" w:rsidR="003E3ABA" w:rsidRPr="00AC0422" w:rsidRDefault="003E3ABA" w:rsidP="001354E3">
      <w:pPr>
        <w:pStyle w:val="Heading1"/>
        <w:spacing w:before="0" w:after="0"/>
        <w:jc w:val="left"/>
        <w:rPr>
          <w:rFonts w:asciiTheme="minorHAnsi" w:hAnsiTheme="minorHAnsi" w:cstheme="minorHAnsi"/>
        </w:rPr>
      </w:pPr>
      <w:bookmarkStart w:id="35" w:name="_Toc40273940"/>
      <w:r w:rsidRPr="00AC0422">
        <w:rPr>
          <w:rFonts w:asciiTheme="minorHAnsi" w:hAnsiTheme="minorHAnsi" w:cstheme="minorHAnsi"/>
        </w:rPr>
        <w:t>Governance and Management Arrangements</w:t>
      </w:r>
      <w:bookmarkEnd w:id="35"/>
      <w:r w:rsidRPr="00AC0422">
        <w:rPr>
          <w:rFonts w:asciiTheme="minorHAnsi" w:hAnsiTheme="minorHAnsi" w:cstheme="minorHAnsi"/>
        </w:rPr>
        <w:t xml:space="preserve"> </w:t>
      </w:r>
    </w:p>
    <w:p w14:paraId="6C6D7239" w14:textId="77777777" w:rsidR="00A04E6F" w:rsidRPr="00AC0422" w:rsidRDefault="00A04E6F" w:rsidP="001354E3">
      <w:pPr>
        <w:spacing w:after="0"/>
        <w:jc w:val="left"/>
        <w:rPr>
          <w:rFonts w:asciiTheme="minorHAnsi" w:hAnsiTheme="minorHAnsi" w:cstheme="minorHAnsi"/>
          <w:b/>
          <w:i/>
          <w:noProof/>
          <w:szCs w:val="20"/>
          <w:lang w:eastAsia="zh-CN"/>
        </w:rPr>
      </w:pPr>
    </w:p>
    <w:p w14:paraId="7DFBB95B" w14:textId="77777777" w:rsidR="0007787A" w:rsidRPr="00AC0422" w:rsidRDefault="0007787A" w:rsidP="005F3BF6">
      <w:pPr>
        <w:spacing w:line="276" w:lineRule="auto"/>
        <w:ind w:right="-29"/>
        <w:contextualSpacing/>
        <w:rPr>
          <w:rFonts w:asciiTheme="minorHAnsi" w:hAnsiTheme="minorHAnsi" w:cstheme="minorHAnsi"/>
          <w:noProof/>
          <w:lang w:eastAsia="zh-CN"/>
        </w:rPr>
      </w:pPr>
      <w:r w:rsidRPr="00AC0422">
        <w:rPr>
          <w:rFonts w:asciiTheme="minorHAnsi" w:hAnsiTheme="minorHAnsi" w:cstheme="minorHAnsi"/>
          <w:noProof/>
          <w:lang w:eastAsia="zh-CN"/>
        </w:rPr>
        <w:t>This proposal shall be governed by the terms and conditions set forth in the Second Amended and Restated Framework Readiness and Preparatory Support Grant Agreement agreed between GCF and UNDP dated 22 July 2020.</w:t>
      </w:r>
    </w:p>
    <w:p w14:paraId="5ECE3BEF" w14:textId="77777777" w:rsidR="00E13E5A" w:rsidRPr="00AC0422" w:rsidRDefault="00E13E5A" w:rsidP="005F3BF6">
      <w:pPr>
        <w:spacing w:line="276" w:lineRule="auto"/>
        <w:ind w:right="-29"/>
        <w:contextualSpacing/>
        <w:rPr>
          <w:rFonts w:asciiTheme="minorHAnsi" w:hAnsiTheme="minorHAnsi" w:cstheme="minorHAnsi"/>
          <w:noProof/>
          <w:lang w:eastAsia="zh-CN"/>
        </w:rPr>
      </w:pPr>
    </w:p>
    <w:p w14:paraId="2F0A4CB7" w14:textId="4AAD33BB" w:rsidR="0007787A" w:rsidRPr="00AC0422" w:rsidRDefault="0007787A" w:rsidP="005F3BF6">
      <w:pPr>
        <w:spacing w:line="276" w:lineRule="auto"/>
        <w:ind w:right="-29"/>
        <w:rPr>
          <w:rFonts w:asciiTheme="minorHAnsi" w:hAnsiTheme="minorHAnsi" w:cstheme="minorHAnsi"/>
          <w:noProof/>
          <w:lang w:eastAsia="zh-CN"/>
        </w:rPr>
      </w:pPr>
      <w:r w:rsidRPr="00AC0422">
        <w:rPr>
          <w:rFonts w:asciiTheme="minorHAnsi" w:hAnsiTheme="minorHAnsi" w:cstheme="minorHAnsi"/>
          <w:noProof/>
          <w:lang w:eastAsia="zh-CN"/>
        </w:rPr>
        <w:t>The implementation period for the Proposal approved following the date of the Second Amended Framework Agreement means the period beginning from the date  that the Fund notifies  the Applicant, the Beneficiary and the Delivery Partner that it has approved the Proposal, and ending three (3) months after the expiration of the anticipated duration of the relevant Readiness and Preparatory Support specified in such Approved R&amp;P Support Proposal, including any extensions approved by the Fund.</w:t>
      </w:r>
    </w:p>
    <w:p w14:paraId="5992266D" w14:textId="77777777" w:rsidR="00D45487" w:rsidRPr="00AC0422" w:rsidRDefault="00D45487" w:rsidP="00D45487">
      <w:pPr>
        <w:spacing w:after="0"/>
        <w:jc w:val="left"/>
        <w:rPr>
          <w:rFonts w:asciiTheme="minorHAnsi" w:hAnsiTheme="minorHAnsi" w:cstheme="minorHAnsi"/>
          <w:i/>
          <w:noProof/>
          <w:szCs w:val="20"/>
          <w:lang w:eastAsia="zh-CN"/>
        </w:rPr>
      </w:pPr>
    </w:p>
    <w:p w14:paraId="56D9083A" w14:textId="77777777" w:rsidR="00D45487" w:rsidRPr="00AC0422" w:rsidRDefault="00D45487" w:rsidP="00D45487">
      <w:pPr>
        <w:rPr>
          <w:rFonts w:asciiTheme="minorHAnsi" w:hAnsiTheme="minorHAnsi" w:cstheme="minorHAnsi"/>
          <w:b/>
          <w:szCs w:val="20"/>
        </w:rPr>
      </w:pPr>
      <w:r w:rsidRPr="00AC0422">
        <w:rPr>
          <w:rFonts w:asciiTheme="minorHAnsi" w:hAnsiTheme="minorHAnsi" w:cstheme="minorHAnsi"/>
          <w:b/>
          <w:noProof/>
          <w:szCs w:val="20"/>
          <w:lang w:eastAsia="zh-CN"/>
        </w:rPr>
        <w:t xml:space="preserve">Roles and responsibilities of the project’s governance mechanism: </w:t>
      </w:r>
    </w:p>
    <w:p w14:paraId="75C3B6B0" w14:textId="77777777" w:rsidR="00DA5FA3" w:rsidRPr="00AC0422" w:rsidRDefault="00DA5FA3" w:rsidP="00DA5FA3">
      <w:pPr>
        <w:spacing w:after="0"/>
        <w:rPr>
          <w:rFonts w:asciiTheme="minorHAnsi" w:hAnsiTheme="minorHAnsi" w:cstheme="minorHAnsi"/>
          <w:noProof/>
          <w:szCs w:val="20"/>
          <w:lang w:eastAsia="zh-CN"/>
        </w:rPr>
      </w:pPr>
    </w:p>
    <w:p w14:paraId="70447CB7" w14:textId="77777777" w:rsidR="00DA5FA3" w:rsidRPr="00AC0422" w:rsidRDefault="00DA5FA3" w:rsidP="00DA5FA3">
      <w:pPr>
        <w:rPr>
          <w:rFonts w:asciiTheme="minorHAnsi" w:hAnsiTheme="minorHAnsi" w:cstheme="minorHAnsi"/>
          <w:noProof/>
          <w:lang w:eastAsia="zh-CN"/>
        </w:rPr>
      </w:pPr>
      <w:r w:rsidRPr="00AC0422">
        <w:rPr>
          <w:rFonts w:asciiTheme="minorHAnsi" w:hAnsiTheme="minorHAnsi" w:cstheme="minorHAnsi"/>
          <w:noProof/>
          <w:lang w:eastAsia="zh-CN"/>
        </w:rPr>
        <w:t>The project will be implemented following UNDP’s direct implementation modality,</w:t>
      </w:r>
      <w:r w:rsidRPr="00AC0422">
        <w:rPr>
          <w:rFonts w:asciiTheme="minorHAnsi" w:hAnsiTheme="minorHAnsi" w:cstheme="minorHAnsi"/>
        </w:rPr>
        <w:t xml:space="preserve"> in accordance with the terms of conditions set forth in the Second Amended Readiness and Preparatory Support Grant Framework agreement between UNDP and the </w:t>
      </w:r>
      <w:r w:rsidRPr="00AC0422">
        <w:rPr>
          <w:rFonts w:asciiTheme="minorHAnsi" w:hAnsiTheme="minorHAnsi" w:cstheme="minorHAnsi"/>
          <w:noProof/>
          <w:lang w:eastAsia="zh-CN"/>
        </w:rPr>
        <w:t>GCF, effective as of 17 August 2020.</w:t>
      </w:r>
    </w:p>
    <w:p w14:paraId="0E715F36" w14:textId="77777777" w:rsidR="00DA5FA3" w:rsidRPr="00AC0422" w:rsidRDefault="00DA5FA3" w:rsidP="00DA5FA3">
      <w:pPr>
        <w:spacing w:after="0"/>
        <w:jc w:val="left"/>
        <w:rPr>
          <w:rFonts w:asciiTheme="minorHAnsi" w:hAnsiTheme="minorHAnsi" w:cstheme="minorHAnsi"/>
          <w:noProof/>
          <w:szCs w:val="20"/>
          <w:u w:val="single"/>
          <w:lang w:eastAsia="zh-CN"/>
        </w:rPr>
      </w:pPr>
    </w:p>
    <w:p w14:paraId="2E5E4F4B" w14:textId="77777777" w:rsidR="00DA5FA3" w:rsidRPr="00AC0422" w:rsidRDefault="00DA5FA3" w:rsidP="00DA5FA3">
      <w:pPr>
        <w:spacing w:after="0"/>
        <w:rPr>
          <w:rFonts w:asciiTheme="minorHAnsi" w:hAnsiTheme="minorHAnsi" w:cstheme="minorHAnsi"/>
          <w:noProof/>
          <w:szCs w:val="20"/>
          <w:lang w:eastAsia="zh-CN"/>
        </w:rPr>
      </w:pPr>
      <w:r w:rsidRPr="00AC0422">
        <w:rPr>
          <w:rFonts w:asciiTheme="minorHAnsi" w:hAnsiTheme="minorHAnsi" w:cstheme="minorHAnsi"/>
          <w:noProof/>
          <w:szCs w:val="20"/>
          <w:u w:val="single"/>
          <w:lang w:eastAsia="zh-CN"/>
        </w:rPr>
        <w:t>Implementing Partner</w:t>
      </w:r>
      <w:r w:rsidRPr="00AC0422">
        <w:rPr>
          <w:rFonts w:asciiTheme="minorHAnsi" w:hAnsiTheme="minorHAnsi" w:cstheme="minorHAnsi"/>
          <w:noProof/>
          <w:szCs w:val="20"/>
          <w:lang w:eastAsia="zh-CN"/>
        </w:rPr>
        <w:t>: The Implementing Partner for this project is UNDP. UNDP, through the CO, is therefore responsible and accountable for managing this project, including the monitoring and evaluation of project interventions, achieving project outcomes, and for the effective use of UNDP resources. UNDP is responsible for:</w:t>
      </w:r>
    </w:p>
    <w:p w14:paraId="7314BE52" w14:textId="77777777" w:rsidR="00DA5FA3" w:rsidRPr="00AC0422" w:rsidRDefault="00DA5FA3" w:rsidP="005D2C02">
      <w:pPr>
        <w:pStyle w:val="ListParagraph"/>
        <w:numPr>
          <w:ilvl w:val="0"/>
          <w:numId w:val="18"/>
        </w:numPr>
        <w:ind w:left="1080"/>
        <w:jc w:val="both"/>
        <w:rPr>
          <w:rFonts w:asciiTheme="minorHAnsi" w:hAnsiTheme="minorHAnsi" w:cstheme="minorHAnsi"/>
          <w:sz w:val="20"/>
          <w:szCs w:val="20"/>
        </w:rPr>
      </w:pPr>
      <w:r w:rsidRPr="00AC0422">
        <w:rPr>
          <w:rFonts w:asciiTheme="minorHAnsi" w:hAnsiTheme="minorHAnsi" w:cstheme="minorHAnsi"/>
          <w:sz w:val="20"/>
          <w:szCs w:val="20"/>
        </w:rPr>
        <w:t>Approving and signing the multiyear workplan;</w:t>
      </w:r>
    </w:p>
    <w:p w14:paraId="7DD633F7" w14:textId="77777777" w:rsidR="00DA5FA3" w:rsidRPr="00AC0422" w:rsidRDefault="00DA5FA3" w:rsidP="005D2C02">
      <w:pPr>
        <w:pStyle w:val="ListParagraph"/>
        <w:numPr>
          <w:ilvl w:val="0"/>
          <w:numId w:val="18"/>
        </w:numPr>
        <w:ind w:left="1080"/>
        <w:jc w:val="both"/>
        <w:rPr>
          <w:rFonts w:asciiTheme="minorHAnsi" w:hAnsiTheme="minorHAnsi" w:cstheme="minorHAnsi"/>
          <w:sz w:val="20"/>
          <w:szCs w:val="20"/>
        </w:rPr>
      </w:pPr>
      <w:r w:rsidRPr="00AC0422">
        <w:rPr>
          <w:rFonts w:asciiTheme="minorHAnsi" w:hAnsiTheme="minorHAnsi" w:cstheme="minorHAnsi"/>
          <w:sz w:val="20"/>
          <w:szCs w:val="20"/>
        </w:rPr>
        <w:t>Approving and signing the combined delivery report at the end of the year; and,</w:t>
      </w:r>
    </w:p>
    <w:p w14:paraId="1D948564" w14:textId="77777777" w:rsidR="00DA5FA3" w:rsidRPr="00AC0422" w:rsidRDefault="00DA5FA3" w:rsidP="005D2C02">
      <w:pPr>
        <w:pStyle w:val="ListParagraph"/>
        <w:numPr>
          <w:ilvl w:val="0"/>
          <w:numId w:val="18"/>
        </w:numPr>
        <w:ind w:left="1080"/>
        <w:jc w:val="both"/>
        <w:rPr>
          <w:rFonts w:asciiTheme="minorHAnsi" w:hAnsiTheme="minorHAnsi" w:cstheme="minorHAnsi"/>
          <w:sz w:val="20"/>
          <w:szCs w:val="20"/>
        </w:rPr>
      </w:pPr>
      <w:r w:rsidRPr="00AC0422">
        <w:rPr>
          <w:rFonts w:asciiTheme="minorHAnsi" w:hAnsiTheme="minorHAnsi" w:cstheme="minorHAnsi"/>
          <w:sz w:val="20"/>
          <w:szCs w:val="20"/>
        </w:rPr>
        <w:t>Signing the financial report or the funding authorization and certificate of expenditures.</w:t>
      </w:r>
    </w:p>
    <w:p w14:paraId="65CE0E24" w14:textId="77777777" w:rsidR="00DA5FA3" w:rsidRPr="00AC0422" w:rsidRDefault="00DA5FA3" w:rsidP="00DA5FA3">
      <w:pPr>
        <w:spacing w:after="0"/>
        <w:ind w:left="360"/>
        <w:rPr>
          <w:rFonts w:asciiTheme="minorHAnsi" w:hAnsiTheme="minorHAnsi" w:cstheme="minorHAnsi"/>
          <w:noProof/>
          <w:szCs w:val="20"/>
          <w:lang w:eastAsia="zh-CN"/>
        </w:rPr>
      </w:pPr>
    </w:p>
    <w:p w14:paraId="2D01597D" w14:textId="77777777" w:rsidR="00DA5FA3" w:rsidRPr="00AC0422" w:rsidRDefault="00DA5FA3" w:rsidP="00DA5FA3">
      <w:pPr>
        <w:spacing w:after="0"/>
        <w:rPr>
          <w:rFonts w:asciiTheme="minorHAnsi" w:hAnsiTheme="minorHAnsi" w:cstheme="minorHAnsi"/>
          <w:szCs w:val="20"/>
        </w:rPr>
      </w:pPr>
      <w:r w:rsidRPr="00AC0422">
        <w:rPr>
          <w:rFonts w:asciiTheme="minorHAnsi" w:hAnsiTheme="minorHAnsi" w:cstheme="minorHAnsi"/>
          <w:szCs w:val="20"/>
        </w:rPr>
        <w:t xml:space="preserve">A strict firewall will be maintained between project oversight costs and personnel and implementation of the project costs and personnel. </w:t>
      </w:r>
    </w:p>
    <w:p w14:paraId="27D2E528" w14:textId="77777777" w:rsidR="00DA5FA3" w:rsidRPr="00AC0422" w:rsidRDefault="00DA5FA3" w:rsidP="00DA5FA3">
      <w:pPr>
        <w:spacing w:after="0"/>
        <w:rPr>
          <w:rFonts w:asciiTheme="minorHAnsi" w:hAnsiTheme="minorHAnsi" w:cstheme="minorHAnsi"/>
          <w:szCs w:val="20"/>
        </w:rPr>
      </w:pPr>
    </w:p>
    <w:p w14:paraId="60ADF3B7" w14:textId="77777777" w:rsidR="00DA5FA3" w:rsidRPr="00AC0422" w:rsidRDefault="00DA5FA3" w:rsidP="00DA5FA3">
      <w:pPr>
        <w:spacing w:after="0"/>
        <w:rPr>
          <w:rFonts w:asciiTheme="minorHAnsi" w:hAnsiTheme="minorHAnsi" w:cstheme="minorHAnsi"/>
          <w:noProof/>
          <w:szCs w:val="20"/>
          <w:lang w:eastAsia="zh-CN"/>
        </w:rPr>
      </w:pPr>
      <w:r w:rsidRPr="00AC0422">
        <w:rPr>
          <w:rFonts w:asciiTheme="minorHAnsi" w:hAnsiTheme="minorHAnsi" w:cstheme="minorHAnsi"/>
          <w:noProof/>
          <w:szCs w:val="20"/>
          <w:lang w:eastAsia="zh-CN"/>
        </w:rPr>
        <w:t>The project organisation structure is as follows:</w:t>
      </w:r>
    </w:p>
    <w:p w14:paraId="75460E5F" w14:textId="77777777" w:rsidR="002F5464" w:rsidRPr="00AC0422" w:rsidRDefault="002F5464" w:rsidP="002F5464">
      <w:pPr>
        <w:spacing w:after="0"/>
        <w:rPr>
          <w:rFonts w:asciiTheme="minorHAnsi" w:hAnsiTheme="minorHAnsi" w:cstheme="minorHAnsi"/>
          <w:szCs w:val="20"/>
        </w:rPr>
      </w:pPr>
    </w:p>
    <w:p w14:paraId="525A15F0" w14:textId="77777777" w:rsidR="005500EC" w:rsidRPr="00AC0422" w:rsidRDefault="005500EC" w:rsidP="005500EC">
      <w:pPr>
        <w:spacing w:after="0"/>
        <w:jc w:val="left"/>
        <w:rPr>
          <w:rFonts w:asciiTheme="minorHAnsi" w:hAnsiTheme="minorHAnsi" w:cstheme="minorHAnsi"/>
          <w:szCs w:val="20"/>
          <w:lang w:eastAsia="zh-CN"/>
        </w:rPr>
      </w:pPr>
    </w:p>
    <w:p w14:paraId="7A4C30F9" w14:textId="733BFF10" w:rsidR="00DA5FA3" w:rsidRPr="00AC0422" w:rsidRDefault="00DA5FA3" w:rsidP="00DA5FA3">
      <w:pPr>
        <w:spacing w:after="0"/>
        <w:jc w:val="left"/>
        <w:rPr>
          <w:rFonts w:asciiTheme="minorHAnsi" w:hAnsiTheme="minorHAnsi" w:cstheme="minorHAnsi"/>
          <w:color w:val="FFFFFF" w:themeColor="background1"/>
          <w:sz w:val="16"/>
          <w:szCs w:val="16"/>
        </w:rPr>
      </w:pPr>
    </w:p>
    <w:p w14:paraId="1CFB2E33" w14:textId="77777777" w:rsidR="00015136" w:rsidRPr="00AC0422" w:rsidRDefault="00015136" w:rsidP="00DA5FA3">
      <w:pPr>
        <w:spacing w:after="0"/>
        <w:jc w:val="left"/>
        <w:rPr>
          <w:rFonts w:asciiTheme="minorHAnsi" w:hAnsiTheme="minorHAnsi" w:cstheme="minorHAnsi"/>
          <w:color w:val="FFFFFF" w:themeColor="background1"/>
          <w:sz w:val="16"/>
          <w:szCs w:val="16"/>
        </w:rPr>
      </w:pPr>
    </w:p>
    <w:p w14:paraId="4BB0A858" w14:textId="77777777" w:rsidR="00015136" w:rsidRPr="00AC0422" w:rsidRDefault="00015136" w:rsidP="00DA5FA3">
      <w:pPr>
        <w:spacing w:after="0"/>
        <w:jc w:val="left"/>
        <w:rPr>
          <w:rFonts w:asciiTheme="minorHAnsi" w:hAnsiTheme="minorHAnsi" w:cstheme="minorHAnsi"/>
          <w:b/>
          <w:noProof/>
          <w:szCs w:val="20"/>
          <w:lang w:eastAsia="zh-CN"/>
        </w:rPr>
      </w:pPr>
    </w:p>
    <w:p w14:paraId="57FFB0D9" w14:textId="665736B0" w:rsidR="00DA5FA3" w:rsidRPr="00AC0422" w:rsidRDefault="00FA5D16" w:rsidP="00DA5FA3">
      <w:pPr>
        <w:autoSpaceDE w:val="0"/>
        <w:adjustRightInd w:val="0"/>
        <w:spacing w:after="120"/>
        <w:jc w:val="center"/>
        <w:rPr>
          <w:rFonts w:asciiTheme="minorHAnsi" w:hAnsiTheme="minorHAnsi" w:cstheme="minorHAnsi"/>
          <w:sz w:val="18"/>
          <w:szCs w:val="18"/>
        </w:rPr>
      </w:pPr>
      <w:r w:rsidRPr="00AC0422">
        <w:rPr>
          <w:rFonts w:asciiTheme="minorHAnsi" w:hAnsiTheme="minorHAnsi" w:cstheme="minorHAnsi"/>
          <w:noProof/>
        </w:rPr>
        <w:drawing>
          <wp:inline distT="0" distB="0" distL="0" distR="0" wp14:anchorId="3AD9E8C9" wp14:editId="54C4419B">
            <wp:extent cx="5732145" cy="3150230"/>
            <wp:effectExtent l="0" t="0" r="1905" b="0"/>
            <wp:docPr id="1179787543" name="Picture 1" descr="A diagram of a project management un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787543" name="Picture 1" descr="A diagram of a project management unit&#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2145" cy="3150230"/>
                    </a:xfrm>
                    <a:prstGeom prst="rect">
                      <a:avLst/>
                    </a:prstGeom>
                    <a:noFill/>
                    <a:ln>
                      <a:noFill/>
                    </a:ln>
                  </pic:spPr>
                </pic:pic>
              </a:graphicData>
            </a:graphic>
          </wp:inline>
        </w:drawing>
      </w:r>
      <w:r w:rsidR="00DA5FA3" w:rsidRPr="00AC0422">
        <w:rPr>
          <w:rFonts w:asciiTheme="minorHAnsi" w:hAnsiTheme="minorHAnsi" w:cstheme="minorHAnsi"/>
          <w:b/>
          <w:bCs/>
          <w:sz w:val="16"/>
          <w:szCs w:val="16"/>
          <w:lang w:eastAsia="en-GB"/>
        </w:rPr>
        <w:t>Figure 1: Project Organization Structure</w:t>
      </w:r>
    </w:p>
    <w:p w14:paraId="59FA0DD4" w14:textId="77777777" w:rsidR="00DA5FA3" w:rsidRPr="00AC0422" w:rsidRDefault="00DA5FA3" w:rsidP="00DA5FA3">
      <w:pPr>
        <w:spacing w:after="0"/>
        <w:jc w:val="left"/>
        <w:rPr>
          <w:rFonts w:asciiTheme="minorHAnsi" w:hAnsiTheme="minorHAnsi" w:cstheme="minorHAnsi"/>
          <w:b/>
          <w:noProof/>
          <w:szCs w:val="20"/>
          <w:lang w:eastAsia="zh-CN"/>
        </w:rPr>
      </w:pPr>
    </w:p>
    <w:p w14:paraId="68F15647" w14:textId="77777777" w:rsidR="00DA5FA3" w:rsidRPr="00AC0422" w:rsidRDefault="00DA5FA3" w:rsidP="00DA5FA3">
      <w:pPr>
        <w:shd w:val="clear" w:color="auto" w:fill="FFFFFF"/>
        <w:spacing w:after="0"/>
        <w:rPr>
          <w:rFonts w:asciiTheme="minorHAnsi" w:hAnsiTheme="minorHAnsi" w:cstheme="minorHAnsi"/>
          <w:szCs w:val="20"/>
          <w:lang w:eastAsia="zh-CN"/>
        </w:rPr>
      </w:pPr>
      <w:r w:rsidRPr="00AC0422">
        <w:rPr>
          <w:rFonts w:asciiTheme="minorHAnsi" w:hAnsiTheme="minorHAnsi" w:cstheme="minorHAnsi"/>
          <w:bCs/>
          <w:szCs w:val="20"/>
          <w:lang w:eastAsia="zh-CN"/>
        </w:rPr>
        <w:t>The UNDP Resident Representative assumes full responsibility and accountability for oversight and quality assurance of</w:t>
      </w:r>
      <w:r w:rsidRPr="00AC0422">
        <w:rPr>
          <w:rFonts w:asciiTheme="minorHAnsi" w:hAnsiTheme="minorHAnsi" w:cstheme="minorHAnsi"/>
          <w:szCs w:val="20"/>
          <w:lang w:eastAsia="zh-CN"/>
        </w:rPr>
        <w:t xml:space="preserve"> this Project and ensures its timely implementation in compliance with the GCF-specific requirements and UNDP’s </w:t>
      </w:r>
      <w:proofErr w:type="spellStart"/>
      <w:r w:rsidRPr="00AC0422">
        <w:rPr>
          <w:rFonts w:asciiTheme="minorHAnsi" w:hAnsiTheme="minorHAnsi" w:cstheme="minorHAnsi"/>
          <w:szCs w:val="20"/>
          <w:lang w:eastAsia="zh-CN"/>
        </w:rPr>
        <w:t>Programme</w:t>
      </w:r>
      <w:proofErr w:type="spellEnd"/>
      <w:r w:rsidRPr="00AC0422">
        <w:rPr>
          <w:rFonts w:asciiTheme="minorHAnsi" w:hAnsiTheme="minorHAnsi" w:cstheme="minorHAnsi"/>
          <w:szCs w:val="20"/>
          <w:lang w:eastAsia="zh-CN"/>
        </w:rPr>
        <w:t xml:space="preserve"> and Operations Policies and Procedures (POPP), its Financial Regulations and Rules and Internal Control Framework. A representative of the UNDP Country Office will assume the assurance role and will present assurance findings to the Project Board, and therefore attend Project Board meetings as a non-voting member.</w:t>
      </w:r>
    </w:p>
    <w:p w14:paraId="0D87E0F3" w14:textId="77777777" w:rsidR="00DA5FA3" w:rsidRPr="00AC0422" w:rsidRDefault="00DA5FA3" w:rsidP="00DA5FA3">
      <w:pPr>
        <w:shd w:val="clear" w:color="auto" w:fill="FFFFFF"/>
        <w:spacing w:after="0"/>
        <w:rPr>
          <w:rFonts w:asciiTheme="minorHAnsi" w:hAnsiTheme="minorHAnsi" w:cstheme="minorHAnsi"/>
          <w:szCs w:val="20"/>
          <w:lang w:eastAsia="zh-CN"/>
        </w:rPr>
      </w:pPr>
    </w:p>
    <w:p w14:paraId="30CD871F" w14:textId="77777777" w:rsidR="00DA5FA3" w:rsidRPr="00AC0422" w:rsidRDefault="00DA5FA3" w:rsidP="00DA5FA3">
      <w:pPr>
        <w:shd w:val="clear" w:color="auto" w:fill="FFFFFF"/>
        <w:spacing w:after="0"/>
        <w:rPr>
          <w:rFonts w:asciiTheme="minorHAnsi" w:hAnsiTheme="minorHAnsi" w:cstheme="minorHAnsi"/>
          <w:b/>
          <w:bCs/>
          <w:szCs w:val="20"/>
          <w:lang w:eastAsia="zh-CN"/>
        </w:rPr>
      </w:pPr>
      <w:r w:rsidRPr="00AC0422">
        <w:rPr>
          <w:rFonts w:asciiTheme="minorHAnsi" w:hAnsiTheme="minorHAnsi" w:cstheme="minorHAnsi"/>
          <w:b/>
          <w:bCs/>
          <w:szCs w:val="20"/>
          <w:lang w:eastAsia="zh-CN"/>
        </w:rPr>
        <w:t xml:space="preserve">Roles and Responsibilities of the Project </w:t>
      </w:r>
      <w:proofErr w:type="spellStart"/>
      <w:r w:rsidRPr="00AC0422">
        <w:rPr>
          <w:rFonts w:asciiTheme="minorHAnsi" w:hAnsiTheme="minorHAnsi" w:cstheme="minorHAnsi"/>
          <w:b/>
          <w:bCs/>
          <w:szCs w:val="20"/>
          <w:lang w:eastAsia="zh-CN"/>
        </w:rPr>
        <w:t>Organisation</w:t>
      </w:r>
      <w:proofErr w:type="spellEnd"/>
      <w:r w:rsidRPr="00AC0422">
        <w:rPr>
          <w:rFonts w:asciiTheme="minorHAnsi" w:hAnsiTheme="minorHAnsi" w:cstheme="minorHAnsi"/>
          <w:b/>
          <w:bCs/>
          <w:szCs w:val="20"/>
          <w:lang w:eastAsia="zh-CN"/>
        </w:rPr>
        <w:t xml:space="preserve"> Structure:</w:t>
      </w:r>
    </w:p>
    <w:p w14:paraId="44A8A1A3" w14:textId="77777777" w:rsidR="00DA5FA3" w:rsidRPr="00AC0422" w:rsidRDefault="00DA5FA3" w:rsidP="00DA5FA3">
      <w:pPr>
        <w:spacing w:after="0"/>
        <w:jc w:val="left"/>
        <w:rPr>
          <w:rFonts w:asciiTheme="minorHAnsi" w:hAnsiTheme="minorHAnsi" w:cstheme="minorHAnsi"/>
          <w:b/>
          <w:noProof/>
          <w:szCs w:val="20"/>
          <w:lang w:eastAsia="zh-CN"/>
        </w:rPr>
      </w:pPr>
    </w:p>
    <w:p w14:paraId="227C8677" w14:textId="77777777" w:rsidR="00535BB4" w:rsidRPr="00AC0422" w:rsidRDefault="00535BB4" w:rsidP="005D2C02">
      <w:pPr>
        <w:numPr>
          <w:ilvl w:val="0"/>
          <w:numId w:val="58"/>
        </w:numPr>
        <w:spacing w:after="0"/>
        <w:jc w:val="left"/>
        <w:rPr>
          <w:rFonts w:asciiTheme="minorHAnsi" w:hAnsiTheme="minorHAnsi" w:cstheme="minorHAnsi"/>
          <w:b/>
          <w:bCs/>
          <w:szCs w:val="20"/>
        </w:rPr>
      </w:pPr>
      <w:r w:rsidRPr="00AC0422">
        <w:rPr>
          <w:rFonts w:asciiTheme="minorHAnsi" w:hAnsiTheme="minorHAnsi" w:cstheme="minorHAnsi"/>
          <w:b/>
          <w:bCs/>
          <w:szCs w:val="20"/>
        </w:rPr>
        <w:t>Project Steering Committee</w:t>
      </w:r>
    </w:p>
    <w:p w14:paraId="1E3F4FA9"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The Project Steering Committee is the senior oversight body for the project. It includes representatives from all the line ministries and sectors. The committee will meet at least twice a year to guide project execution and address strategic risks.</w:t>
      </w:r>
    </w:p>
    <w:p w14:paraId="7DDFCFDC"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Roles and Responsibilities:</w:t>
      </w:r>
    </w:p>
    <w:p w14:paraId="0E361BBB" w14:textId="77777777" w:rsidR="00535BB4" w:rsidRPr="00AC0422" w:rsidRDefault="00535BB4" w:rsidP="005D2C02">
      <w:pPr>
        <w:numPr>
          <w:ilvl w:val="0"/>
          <w:numId w:val="55"/>
        </w:numPr>
        <w:spacing w:after="0"/>
        <w:jc w:val="left"/>
        <w:rPr>
          <w:rFonts w:asciiTheme="minorHAnsi" w:hAnsiTheme="minorHAnsi" w:cstheme="minorHAnsi"/>
          <w:szCs w:val="20"/>
        </w:rPr>
      </w:pPr>
      <w:r w:rsidRPr="00AC0422">
        <w:rPr>
          <w:rFonts w:asciiTheme="minorHAnsi" w:hAnsiTheme="minorHAnsi" w:cstheme="minorHAnsi"/>
          <w:szCs w:val="20"/>
        </w:rPr>
        <w:t>Provide overall strategic guidance and direction for the project.</w:t>
      </w:r>
    </w:p>
    <w:p w14:paraId="4CD286E9" w14:textId="77777777" w:rsidR="00535BB4" w:rsidRPr="00AC0422" w:rsidRDefault="00535BB4" w:rsidP="005D2C02">
      <w:pPr>
        <w:numPr>
          <w:ilvl w:val="0"/>
          <w:numId w:val="55"/>
        </w:numPr>
        <w:spacing w:after="0"/>
        <w:jc w:val="left"/>
        <w:rPr>
          <w:rFonts w:asciiTheme="minorHAnsi" w:hAnsiTheme="minorHAnsi" w:cstheme="minorHAnsi"/>
          <w:szCs w:val="20"/>
        </w:rPr>
      </w:pPr>
      <w:r w:rsidRPr="00AC0422">
        <w:rPr>
          <w:rFonts w:asciiTheme="minorHAnsi" w:hAnsiTheme="minorHAnsi" w:cstheme="minorHAnsi"/>
          <w:szCs w:val="20"/>
        </w:rPr>
        <w:t>Approve annual workplans, and key deliverables.</w:t>
      </w:r>
    </w:p>
    <w:p w14:paraId="438E7867" w14:textId="77777777" w:rsidR="00535BB4" w:rsidRPr="00AC0422" w:rsidRDefault="00535BB4" w:rsidP="005D2C02">
      <w:pPr>
        <w:numPr>
          <w:ilvl w:val="0"/>
          <w:numId w:val="55"/>
        </w:numPr>
        <w:spacing w:after="0"/>
        <w:jc w:val="left"/>
        <w:rPr>
          <w:rFonts w:asciiTheme="minorHAnsi" w:hAnsiTheme="minorHAnsi" w:cstheme="minorHAnsi"/>
          <w:szCs w:val="20"/>
        </w:rPr>
      </w:pPr>
      <w:r w:rsidRPr="00AC0422">
        <w:rPr>
          <w:rFonts w:asciiTheme="minorHAnsi" w:hAnsiTheme="minorHAnsi" w:cstheme="minorHAnsi"/>
          <w:szCs w:val="20"/>
        </w:rPr>
        <w:t>Review project progress and advise on necessary revisions or risk mitigation strategies.</w:t>
      </w:r>
    </w:p>
    <w:p w14:paraId="4BADE680" w14:textId="77777777" w:rsidR="00535BB4" w:rsidRPr="00AC0422" w:rsidRDefault="00535BB4" w:rsidP="005D2C02">
      <w:pPr>
        <w:numPr>
          <w:ilvl w:val="0"/>
          <w:numId w:val="55"/>
        </w:numPr>
        <w:spacing w:after="0"/>
        <w:jc w:val="left"/>
        <w:rPr>
          <w:rFonts w:asciiTheme="minorHAnsi" w:hAnsiTheme="minorHAnsi" w:cstheme="minorHAnsi"/>
          <w:szCs w:val="20"/>
        </w:rPr>
      </w:pPr>
      <w:r w:rsidRPr="00AC0422">
        <w:rPr>
          <w:rFonts w:asciiTheme="minorHAnsi" w:hAnsiTheme="minorHAnsi" w:cstheme="minorHAnsi"/>
          <w:szCs w:val="20"/>
        </w:rPr>
        <w:t>Ensure the project remains on track to achieve its objectives within approved constraints.</w:t>
      </w:r>
    </w:p>
    <w:p w14:paraId="6970A998" w14:textId="77777777" w:rsidR="00535BB4" w:rsidRPr="00AC0422" w:rsidRDefault="00535BB4" w:rsidP="005D2C02">
      <w:pPr>
        <w:numPr>
          <w:ilvl w:val="0"/>
          <w:numId w:val="55"/>
        </w:numPr>
        <w:spacing w:after="0"/>
        <w:jc w:val="left"/>
        <w:rPr>
          <w:rFonts w:asciiTheme="minorHAnsi" w:hAnsiTheme="minorHAnsi" w:cstheme="minorHAnsi"/>
          <w:szCs w:val="20"/>
        </w:rPr>
      </w:pPr>
      <w:r w:rsidRPr="00AC0422">
        <w:rPr>
          <w:rFonts w:asciiTheme="minorHAnsi" w:hAnsiTheme="minorHAnsi" w:cstheme="minorHAnsi"/>
          <w:szCs w:val="20"/>
        </w:rPr>
        <w:t>Facilitate decision-making on project changes through appropriate revisions.</w:t>
      </w:r>
    </w:p>
    <w:p w14:paraId="2227180B" w14:textId="77777777" w:rsidR="00535BB4" w:rsidRPr="00AC0422" w:rsidRDefault="00535BB4" w:rsidP="00535BB4">
      <w:pPr>
        <w:rPr>
          <w:rFonts w:asciiTheme="minorHAnsi" w:hAnsiTheme="minorHAnsi" w:cstheme="minorHAnsi"/>
          <w:b/>
          <w:bCs/>
          <w:szCs w:val="20"/>
        </w:rPr>
      </w:pPr>
    </w:p>
    <w:p w14:paraId="50D22015" w14:textId="77777777" w:rsidR="00535BB4" w:rsidRPr="00AC0422" w:rsidRDefault="00535BB4" w:rsidP="005D2C02">
      <w:pPr>
        <w:numPr>
          <w:ilvl w:val="0"/>
          <w:numId w:val="58"/>
        </w:numPr>
        <w:spacing w:after="0"/>
        <w:jc w:val="left"/>
        <w:rPr>
          <w:rFonts w:asciiTheme="minorHAnsi" w:hAnsiTheme="minorHAnsi" w:cstheme="minorHAnsi"/>
          <w:b/>
          <w:bCs/>
          <w:szCs w:val="20"/>
        </w:rPr>
      </w:pPr>
      <w:r w:rsidRPr="00AC0422">
        <w:rPr>
          <w:rFonts w:asciiTheme="minorHAnsi" w:hAnsiTheme="minorHAnsi" w:cstheme="minorHAnsi"/>
          <w:b/>
          <w:bCs/>
          <w:szCs w:val="20"/>
        </w:rPr>
        <w:t>NAP Coordination Unit</w:t>
      </w:r>
    </w:p>
    <w:p w14:paraId="2825A769"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The NAP Coordination Unit comprises the Climate Change Unit within the Ministry of Water and Environment (MWE) and the UNDP Climate Change Unit. This unit is central to the implementation, coordination, and monitoring of the project.</w:t>
      </w:r>
    </w:p>
    <w:p w14:paraId="4794428F"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Roles and Responsibilities:</w:t>
      </w:r>
    </w:p>
    <w:p w14:paraId="1DCA3281" w14:textId="77777777" w:rsidR="00535BB4" w:rsidRPr="00AC0422" w:rsidRDefault="00535BB4" w:rsidP="005D2C02">
      <w:pPr>
        <w:numPr>
          <w:ilvl w:val="0"/>
          <w:numId w:val="53"/>
        </w:numPr>
        <w:spacing w:after="0"/>
        <w:jc w:val="left"/>
        <w:rPr>
          <w:rFonts w:asciiTheme="minorHAnsi" w:hAnsiTheme="minorHAnsi" w:cstheme="minorHAnsi"/>
          <w:szCs w:val="20"/>
        </w:rPr>
      </w:pPr>
      <w:r w:rsidRPr="00AC0422">
        <w:rPr>
          <w:rFonts w:asciiTheme="minorHAnsi" w:hAnsiTheme="minorHAnsi" w:cstheme="minorHAnsi"/>
          <w:szCs w:val="20"/>
        </w:rPr>
        <w:t>Coordinate the overall execution of project activities and ensure alignment with national adaptation priorities.</w:t>
      </w:r>
    </w:p>
    <w:p w14:paraId="71004E6F" w14:textId="77777777" w:rsidR="00535BB4" w:rsidRPr="00AC0422" w:rsidRDefault="00535BB4" w:rsidP="005D2C02">
      <w:pPr>
        <w:numPr>
          <w:ilvl w:val="0"/>
          <w:numId w:val="53"/>
        </w:numPr>
        <w:spacing w:after="0"/>
        <w:jc w:val="left"/>
        <w:rPr>
          <w:rFonts w:asciiTheme="minorHAnsi" w:hAnsiTheme="minorHAnsi" w:cstheme="minorHAnsi"/>
          <w:szCs w:val="20"/>
        </w:rPr>
      </w:pPr>
      <w:r w:rsidRPr="00AC0422">
        <w:rPr>
          <w:rFonts w:asciiTheme="minorHAnsi" w:hAnsiTheme="minorHAnsi" w:cstheme="minorHAnsi"/>
          <w:szCs w:val="20"/>
        </w:rPr>
        <w:t>Provide quality assurance of outputs and facilitate reporting to the Project Steering Committee and GCF.</w:t>
      </w:r>
    </w:p>
    <w:p w14:paraId="33CDF4C8" w14:textId="77777777" w:rsidR="00535BB4" w:rsidRPr="00AC0422" w:rsidRDefault="00535BB4" w:rsidP="005D2C02">
      <w:pPr>
        <w:numPr>
          <w:ilvl w:val="0"/>
          <w:numId w:val="53"/>
        </w:numPr>
        <w:spacing w:after="0"/>
        <w:jc w:val="left"/>
        <w:rPr>
          <w:rFonts w:asciiTheme="minorHAnsi" w:hAnsiTheme="minorHAnsi" w:cstheme="minorHAnsi"/>
          <w:szCs w:val="20"/>
        </w:rPr>
      </w:pPr>
      <w:r w:rsidRPr="00AC0422">
        <w:rPr>
          <w:rFonts w:asciiTheme="minorHAnsi" w:hAnsiTheme="minorHAnsi" w:cstheme="minorHAnsi"/>
          <w:szCs w:val="20"/>
        </w:rPr>
        <w:lastRenderedPageBreak/>
        <w:t>Supervise and support the Project Management Unit (PMU) in the delivery of project results.</w:t>
      </w:r>
    </w:p>
    <w:p w14:paraId="7F346B41" w14:textId="77777777" w:rsidR="00535BB4" w:rsidRPr="00AC0422" w:rsidRDefault="00535BB4" w:rsidP="005D2C02">
      <w:pPr>
        <w:numPr>
          <w:ilvl w:val="0"/>
          <w:numId w:val="53"/>
        </w:numPr>
        <w:spacing w:after="0"/>
        <w:jc w:val="left"/>
        <w:rPr>
          <w:rFonts w:asciiTheme="minorHAnsi" w:hAnsiTheme="minorHAnsi" w:cstheme="minorHAnsi"/>
          <w:szCs w:val="20"/>
        </w:rPr>
      </w:pPr>
      <w:r w:rsidRPr="00AC0422">
        <w:rPr>
          <w:rFonts w:asciiTheme="minorHAnsi" w:hAnsiTheme="minorHAnsi" w:cstheme="minorHAnsi"/>
          <w:szCs w:val="20"/>
        </w:rPr>
        <w:t>Oversee technical and financial deliverables and ensure that all reports meet the GCF's quality standards.</w:t>
      </w:r>
    </w:p>
    <w:p w14:paraId="19038B36" w14:textId="77777777" w:rsidR="00535BB4" w:rsidRPr="00AC0422" w:rsidRDefault="00535BB4" w:rsidP="005D2C02">
      <w:pPr>
        <w:numPr>
          <w:ilvl w:val="0"/>
          <w:numId w:val="53"/>
        </w:numPr>
        <w:spacing w:after="0"/>
        <w:jc w:val="left"/>
        <w:rPr>
          <w:rFonts w:asciiTheme="minorHAnsi" w:hAnsiTheme="minorHAnsi" w:cstheme="minorHAnsi"/>
          <w:szCs w:val="20"/>
        </w:rPr>
      </w:pPr>
      <w:r w:rsidRPr="00AC0422">
        <w:rPr>
          <w:rFonts w:asciiTheme="minorHAnsi" w:hAnsiTheme="minorHAnsi" w:cstheme="minorHAnsi"/>
          <w:szCs w:val="20"/>
        </w:rPr>
        <w:t>Facilitate stakeholder engagement, including national consultations, workshops, and capacity-building activities.</w:t>
      </w:r>
    </w:p>
    <w:p w14:paraId="38004DFD" w14:textId="77777777" w:rsidR="00535BB4" w:rsidRPr="00AC0422" w:rsidRDefault="00535BB4" w:rsidP="005D2C02">
      <w:pPr>
        <w:numPr>
          <w:ilvl w:val="0"/>
          <w:numId w:val="53"/>
        </w:numPr>
        <w:spacing w:after="0"/>
        <w:jc w:val="left"/>
        <w:rPr>
          <w:rFonts w:asciiTheme="minorHAnsi" w:hAnsiTheme="minorHAnsi" w:cstheme="minorHAnsi"/>
          <w:szCs w:val="20"/>
        </w:rPr>
      </w:pPr>
      <w:r w:rsidRPr="00AC0422">
        <w:rPr>
          <w:rFonts w:asciiTheme="minorHAnsi" w:hAnsiTheme="minorHAnsi" w:cstheme="minorHAnsi"/>
          <w:szCs w:val="20"/>
        </w:rPr>
        <w:t>Validate project deliverables with relevant stakeholders and ensure compliance with quality standards.</w:t>
      </w:r>
    </w:p>
    <w:p w14:paraId="7EBCC5AA" w14:textId="77777777" w:rsidR="00535BB4" w:rsidRPr="00AC0422" w:rsidRDefault="00535BB4" w:rsidP="005D2C02">
      <w:pPr>
        <w:numPr>
          <w:ilvl w:val="0"/>
          <w:numId w:val="53"/>
        </w:numPr>
        <w:spacing w:after="0"/>
        <w:jc w:val="left"/>
        <w:rPr>
          <w:rFonts w:asciiTheme="minorHAnsi" w:hAnsiTheme="minorHAnsi" w:cstheme="minorHAnsi"/>
          <w:szCs w:val="20"/>
        </w:rPr>
      </w:pPr>
      <w:r w:rsidRPr="00AC0422">
        <w:rPr>
          <w:rFonts w:asciiTheme="minorHAnsi" w:hAnsiTheme="minorHAnsi" w:cstheme="minorHAnsi"/>
          <w:szCs w:val="20"/>
        </w:rPr>
        <w:t>Support the integration of project outputs into national and sectoral climate strategies.</w:t>
      </w:r>
    </w:p>
    <w:p w14:paraId="2AF7F409"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The Climate Change Unit team from MWE will provide strategic guidance and ensure government ownership, while the UNDP Climate Change Unit will offer technical expertise and operational support.</w:t>
      </w:r>
    </w:p>
    <w:p w14:paraId="0559B8B1" w14:textId="77777777" w:rsidR="00535BB4" w:rsidRPr="00AC0422" w:rsidRDefault="00535BB4" w:rsidP="00535BB4">
      <w:pPr>
        <w:rPr>
          <w:rFonts w:asciiTheme="minorHAnsi" w:hAnsiTheme="minorHAnsi" w:cstheme="minorHAnsi"/>
          <w:b/>
          <w:bCs/>
          <w:szCs w:val="20"/>
        </w:rPr>
      </w:pPr>
    </w:p>
    <w:p w14:paraId="5E0F1359" w14:textId="77777777" w:rsidR="00535BB4" w:rsidRPr="00AC0422" w:rsidRDefault="00535BB4" w:rsidP="005D2C02">
      <w:pPr>
        <w:numPr>
          <w:ilvl w:val="0"/>
          <w:numId w:val="58"/>
        </w:numPr>
        <w:spacing w:after="0"/>
        <w:jc w:val="left"/>
        <w:rPr>
          <w:rFonts w:asciiTheme="minorHAnsi" w:hAnsiTheme="minorHAnsi" w:cstheme="minorHAnsi"/>
          <w:b/>
          <w:bCs/>
          <w:szCs w:val="20"/>
        </w:rPr>
      </w:pPr>
      <w:r w:rsidRPr="00AC0422">
        <w:rPr>
          <w:rFonts w:asciiTheme="minorHAnsi" w:hAnsiTheme="minorHAnsi" w:cstheme="minorHAnsi"/>
          <w:b/>
          <w:bCs/>
          <w:szCs w:val="20"/>
        </w:rPr>
        <w:t>Delivery Partner (UNDP)</w:t>
      </w:r>
    </w:p>
    <w:p w14:paraId="03662E41"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UNDP, as the Delivery Partner, will be responsible for implementing the readiness activities under this project. The Government of Yemen has appointed UNDP as its Delivery Partner for the third phase of the readiness program to ensure the continuity and sustainability of activities and the expert team.</w:t>
      </w:r>
    </w:p>
    <w:p w14:paraId="02091CD4"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Roles and Responsibilities:</w:t>
      </w:r>
    </w:p>
    <w:p w14:paraId="32A3A0BF" w14:textId="77777777" w:rsidR="00535BB4" w:rsidRPr="00AC0422" w:rsidRDefault="00535BB4" w:rsidP="005D2C02">
      <w:pPr>
        <w:numPr>
          <w:ilvl w:val="0"/>
          <w:numId w:val="57"/>
        </w:numPr>
        <w:spacing w:after="0"/>
        <w:jc w:val="left"/>
        <w:rPr>
          <w:rFonts w:asciiTheme="minorHAnsi" w:hAnsiTheme="minorHAnsi" w:cstheme="minorHAnsi"/>
          <w:szCs w:val="20"/>
        </w:rPr>
      </w:pPr>
      <w:r w:rsidRPr="00AC0422">
        <w:rPr>
          <w:rFonts w:asciiTheme="minorHAnsi" w:hAnsiTheme="minorHAnsi" w:cstheme="minorHAnsi"/>
          <w:szCs w:val="20"/>
        </w:rPr>
        <w:t>Conduct fiduciary and financial management, procurement of goods and services, and monitoring and reporting activities as per UNDP policies and procedures.</w:t>
      </w:r>
    </w:p>
    <w:p w14:paraId="4A5A8DEA" w14:textId="77777777" w:rsidR="00535BB4" w:rsidRPr="00AC0422" w:rsidRDefault="00535BB4" w:rsidP="005D2C02">
      <w:pPr>
        <w:numPr>
          <w:ilvl w:val="0"/>
          <w:numId w:val="57"/>
        </w:numPr>
        <w:spacing w:after="0"/>
        <w:jc w:val="left"/>
        <w:rPr>
          <w:rFonts w:asciiTheme="minorHAnsi" w:hAnsiTheme="minorHAnsi" w:cstheme="minorHAnsi"/>
          <w:szCs w:val="20"/>
        </w:rPr>
      </w:pPr>
      <w:r w:rsidRPr="00AC0422">
        <w:rPr>
          <w:rFonts w:asciiTheme="minorHAnsi" w:hAnsiTheme="minorHAnsi" w:cstheme="minorHAnsi"/>
          <w:szCs w:val="20"/>
        </w:rPr>
        <w:t>Provide financial and technical oversight services for all project outcomes and outputs.</w:t>
      </w:r>
    </w:p>
    <w:p w14:paraId="0F032247" w14:textId="77777777" w:rsidR="00535BB4" w:rsidRPr="00AC0422" w:rsidRDefault="00535BB4" w:rsidP="005D2C02">
      <w:pPr>
        <w:numPr>
          <w:ilvl w:val="0"/>
          <w:numId w:val="57"/>
        </w:numPr>
        <w:spacing w:after="0"/>
        <w:jc w:val="left"/>
        <w:rPr>
          <w:rFonts w:asciiTheme="minorHAnsi" w:hAnsiTheme="minorHAnsi" w:cstheme="minorHAnsi"/>
          <w:szCs w:val="20"/>
        </w:rPr>
      </w:pPr>
      <w:r w:rsidRPr="00AC0422">
        <w:rPr>
          <w:rFonts w:asciiTheme="minorHAnsi" w:hAnsiTheme="minorHAnsi" w:cstheme="minorHAnsi"/>
          <w:szCs w:val="20"/>
        </w:rPr>
        <w:t>Facilitate recruitment of project staff and consultants, including contracting, travel arrangements, and organization of workshops.</w:t>
      </w:r>
    </w:p>
    <w:p w14:paraId="0646B039" w14:textId="77777777" w:rsidR="00535BB4" w:rsidRPr="00AC0422" w:rsidRDefault="00535BB4" w:rsidP="005D2C02">
      <w:pPr>
        <w:numPr>
          <w:ilvl w:val="0"/>
          <w:numId w:val="57"/>
        </w:numPr>
        <w:spacing w:after="0"/>
        <w:jc w:val="left"/>
        <w:rPr>
          <w:rFonts w:asciiTheme="minorHAnsi" w:hAnsiTheme="minorHAnsi" w:cstheme="minorHAnsi"/>
          <w:szCs w:val="20"/>
        </w:rPr>
      </w:pPr>
      <w:r w:rsidRPr="00AC0422">
        <w:rPr>
          <w:rFonts w:asciiTheme="minorHAnsi" w:hAnsiTheme="minorHAnsi" w:cstheme="minorHAnsi"/>
          <w:szCs w:val="20"/>
        </w:rPr>
        <w:t>Delegate spending authority to the UNDP Country Office (CO) while maintaining oversight through the UNDP-GEF/GCF Global Readiness Coordinator.</w:t>
      </w:r>
    </w:p>
    <w:p w14:paraId="60E3378C" w14:textId="77777777" w:rsidR="00535BB4" w:rsidRPr="00AC0422" w:rsidRDefault="00535BB4" w:rsidP="005D2C02">
      <w:pPr>
        <w:numPr>
          <w:ilvl w:val="0"/>
          <w:numId w:val="57"/>
        </w:numPr>
        <w:spacing w:after="0"/>
        <w:jc w:val="left"/>
        <w:rPr>
          <w:rFonts w:asciiTheme="minorHAnsi" w:hAnsiTheme="minorHAnsi" w:cstheme="minorHAnsi"/>
          <w:szCs w:val="20"/>
        </w:rPr>
      </w:pPr>
      <w:r w:rsidRPr="00AC0422">
        <w:rPr>
          <w:rFonts w:asciiTheme="minorHAnsi" w:hAnsiTheme="minorHAnsi" w:cstheme="minorHAnsi"/>
          <w:szCs w:val="20"/>
        </w:rPr>
        <w:t>Ensure that monitoring, evaluation, and reporting comply with GCF and UNDP requirements.</w:t>
      </w:r>
    </w:p>
    <w:p w14:paraId="07D6E296" w14:textId="77777777" w:rsidR="00535BB4" w:rsidRPr="00AC0422" w:rsidRDefault="00535BB4" w:rsidP="005D2C02">
      <w:pPr>
        <w:numPr>
          <w:ilvl w:val="0"/>
          <w:numId w:val="57"/>
        </w:numPr>
        <w:spacing w:after="0"/>
        <w:jc w:val="left"/>
        <w:rPr>
          <w:rFonts w:asciiTheme="minorHAnsi" w:hAnsiTheme="minorHAnsi" w:cstheme="minorHAnsi"/>
          <w:szCs w:val="20"/>
        </w:rPr>
      </w:pPr>
      <w:r w:rsidRPr="00AC0422">
        <w:rPr>
          <w:rFonts w:asciiTheme="minorHAnsi" w:hAnsiTheme="minorHAnsi" w:cstheme="minorHAnsi"/>
          <w:szCs w:val="20"/>
        </w:rPr>
        <w:t>Oversee risk mitigation strategies and ensure project compliance with the UN Security Council Committee resolution 1267 (1999).</w:t>
      </w:r>
    </w:p>
    <w:p w14:paraId="59BF371C" w14:textId="77777777" w:rsidR="00535BB4" w:rsidRPr="00AC0422" w:rsidRDefault="00535BB4" w:rsidP="005D2C02">
      <w:pPr>
        <w:numPr>
          <w:ilvl w:val="0"/>
          <w:numId w:val="57"/>
        </w:numPr>
        <w:spacing w:after="0"/>
        <w:jc w:val="left"/>
        <w:rPr>
          <w:rFonts w:asciiTheme="minorHAnsi" w:hAnsiTheme="minorHAnsi" w:cstheme="minorHAnsi"/>
          <w:szCs w:val="20"/>
        </w:rPr>
      </w:pPr>
      <w:r w:rsidRPr="00AC0422">
        <w:rPr>
          <w:rFonts w:asciiTheme="minorHAnsi" w:hAnsiTheme="minorHAnsi" w:cstheme="minorHAnsi"/>
          <w:szCs w:val="20"/>
        </w:rPr>
        <w:t>Day-to-day management of the project will be undertaken by the UNDP Country Office in close coordination with the NDA within the NAP Coordination Unit.</w:t>
      </w:r>
    </w:p>
    <w:p w14:paraId="17B203DE" w14:textId="77777777" w:rsidR="00535BB4" w:rsidRPr="00AC0422" w:rsidRDefault="00535BB4" w:rsidP="00535BB4">
      <w:pPr>
        <w:rPr>
          <w:rFonts w:asciiTheme="minorHAnsi" w:hAnsiTheme="minorHAnsi" w:cstheme="minorHAnsi"/>
          <w:b/>
          <w:bCs/>
          <w:szCs w:val="20"/>
        </w:rPr>
      </w:pPr>
    </w:p>
    <w:p w14:paraId="234B1532" w14:textId="77777777" w:rsidR="00535BB4" w:rsidRPr="00AC0422" w:rsidRDefault="00535BB4" w:rsidP="00535BB4">
      <w:pPr>
        <w:rPr>
          <w:rFonts w:asciiTheme="minorHAnsi" w:hAnsiTheme="minorHAnsi" w:cstheme="minorHAnsi"/>
          <w:b/>
          <w:bCs/>
          <w:szCs w:val="20"/>
        </w:rPr>
      </w:pPr>
    </w:p>
    <w:p w14:paraId="1278E5D3" w14:textId="77777777" w:rsidR="00535BB4" w:rsidRPr="00AC0422" w:rsidRDefault="00535BB4" w:rsidP="005D2C02">
      <w:pPr>
        <w:numPr>
          <w:ilvl w:val="0"/>
          <w:numId w:val="58"/>
        </w:numPr>
        <w:spacing w:after="0"/>
        <w:jc w:val="left"/>
        <w:rPr>
          <w:rFonts w:asciiTheme="minorHAnsi" w:hAnsiTheme="minorHAnsi" w:cstheme="minorHAnsi"/>
          <w:b/>
          <w:bCs/>
          <w:szCs w:val="20"/>
        </w:rPr>
      </w:pPr>
      <w:r w:rsidRPr="00AC0422">
        <w:rPr>
          <w:rFonts w:asciiTheme="minorHAnsi" w:hAnsiTheme="minorHAnsi" w:cstheme="minorHAnsi"/>
          <w:b/>
          <w:bCs/>
          <w:szCs w:val="20"/>
        </w:rPr>
        <w:t>National Designated Authority (NDA)</w:t>
      </w:r>
    </w:p>
    <w:p w14:paraId="43158E25"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The Ministry of Water and Environment (MWE) serves as Yemen's NDA for the GCF and is the direct beneficiary of the readiness grant.</w:t>
      </w:r>
    </w:p>
    <w:p w14:paraId="2CFAE7A7"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Roles and Responsibilities:</w:t>
      </w:r>
    </w:p>
    <w:p w14:paraId="3095ACB6" w14:textId="77777777" w:rsidR="00535BB4" w:rsidRPr="00AC0422" w:rsidRDefault="00535BB4" w:rsidP="005D2C02">
      <w:pPr>
        <w:numPr>
          <w:ilvl w:val="0"/>
          <w:numId w:val="54"/>
        </w:numPr>
        <w:spacing w:after="0"/>
        <w:jc w:val="left"/>
        <w:rPr>
          <w:rFonts w:asciiTheme="minorHAnsi" w:hAnsiTheme="minorHAnsi" w:cstheme="minorHAnsi"/>
          <w:szCs w:val="20"/>
        </w:rPr>
      </w:pPr>
      <w:r w:rsidRPr="00AC0422">
        <w:rPr>
          <w:rFonts w:asciiTheme="minorHAnsi" w:hAnsiTheme="minorHAnsi" w:cstheme="minorHAnsi"/>
          <w:szCs w:val="20"/>
        </w:rPr>
        <w:t>Guide and approve GCF priorities in Yemen, including project implementation strategies.</w:t>
      </w:r>
    </w:p>
    <w:p w14:paraId="790FA10C" w14:textId="77777777" w:rsidR="00535BB4" w:rsidRPr="00AC0422" w:rsidRDefault="00535BB4" w:rsidP="005D2C02">
      <w:pPr>
        <w:numPr>
          <w:ilvl w:val="0"/>
          <w:numId w:val="54"/>
        </w:numPr>
        <w:spacing w:after="0"/>
        <w:jc w:val="left"/>
        <w:rPr>
          <w:rFonts w:asciiTheme="minorHAnsi" w:hAnsiTheme="minorHAnsi" w:cstheme="minorHAnsi"/>
          <w:szCs w:val="20"/>
        </w:rPr>
      </w:pPr>
      <w:r w:rsidRPr="00AC0422">
        <w:rPr>
          <w:rFonts w:asciiTheme="minorHAnsi" w:hAnsiTheme="minorHAnsi" w:cstheme="minorHAnsi"/>
          <w:szCs w:val="20"/>
        </w:rPr>
        <w:t>Facilitate meetings and access to data, ensuring coordination among stakeholders.</w:t>
      </w:r>
    </w:p>
    <w:p w14:paraId="67A24EE1" w14:textId="77777777" w:rsidR="00535BB4" w:rsidRPr="00AC0422" w:rsidRDefault="00535BB4" w:rsidP="005D2C02">
      <w:pPr>
        <w:numPr>
          <w:ilvl w:val="0"/>
          <w:numId w:val="54"/>
        </w:numPr>
        <w:spacing w:after="0"/>
        <w:jc w:val="left"/>
        <w:rPr>
          <w:rFonts w:asciiTheme="minorHAnsi" w:hAnsiTheme="minorHAnsi" w:cstheme="minorHAnsi"/>
          <w:szCs w:val="20"/>
        </w:rPr>
      </w:pPr>
      <w:r w:rsidRPr="00AC0422">
        <w:rPr>
          <w:rFonts w:asciiTheme="minorHAnsi" w:hAnsiTheme="minorHAnsi" w:cstheme="minorHAnsi"/>
          <w:szCs w:val="20"/>
        </w:rPr>
        <w:t>Provide technical feedback and final approval on terms of reference (</w:t>
      </w:r>
      <w:proofErr w:type="spellStart"/>
      <w:r w:rsidRPr="00AC0422">
        <w:rPr>
          <w:rFonts w:asciiTheme="minorHAnsi" w:hAnsiTheme="minorHAnsi" w:cstheme="minorHAnsi"/>
          <w:szCs w:val="20"/>
        </w:rPr>
        <w:t>ToRs</w:t>
      </w:r>
      <w:proofErr w:type="spellEnd"/>
      <w:r w:rsidRPr="00AC0422">
        <w:rPr>
          <w:rFonts w:asciiTheme="minorHAnsi" w:hAnsiTheme="minorHAnsi" w:cstheme="minorHAnsi"/>
          <w:szCs w:val="20"/>
        </w:rPr>
        <w:t>) for hiring consultants and validate project deliverables.</w:t>
      </w:r>
    </w:p>
    <w:p w14:paraId="58B901CD" w14:textId="77777777" w:rsidR="00535BB4" w:rsidRPr="00AC0422" w:rsidRDefault="00535BB4" w:rsidP="005D2C02">
      <w:pPr>
        <w:numPr>
          <w:ilvl w:val="0"/>
          <w:numId w:val="54"/>
        </w:numPr>
        <w:spacing w:after="0"/>
        <w:jc w:val="left"/>
        <w:rPr>
          <w:rFonts w:asciiTheme="minorHAnsi" w:hAnsiTheme="minorHAnsi" w:cstheme="minorHAnsi"/>
          <w:szCs w:val="20"/>
        </w:rPr>
      </w:pPr>
      <w:r w:rsidRPr="00AC0422">
        <w:rPr>
          <w:rFonts w:asciiTheme="minorHAnsi" w:hAnsiTheme="minorHAnsi" w:cstheme="minorHAnsi"/>
          <w:szCs w:val="20"/>
        </w:rPr>
        <w:t>Facilitate workshops and consultations and involvement of the relevant stakeholders in all the project activities</w:t>
      </w:r>
    </w:p>
    <w:p w14:paraId="4C86FD2C" w14:textId="77777777" w:rsidR="00535BB4" w:rsidRPr="00AC0422" w:rsidRDefault="00535BB4" w:rsidP="005D2C02">
      <w:pPr>
        <w:numPr>
          <w:ilvl w:val="0"/>
          <w:numId w:val="54"/>
        </w:numPr>
        <w:spacing w:after="0"/>
        <w:jc w:val="left"/>
        <w:rPr>
          <w:rFonts w:asciiTheme="minorHAnsi" w:hAnsiTheme="minorHAnsi" w:cstheme="minorHAnsi"/>
          <w:szCs w:val="20"/>
        </w:rPr>
      </w:pPr>
      <w:r w:rsidRPr="00AC0422">
        <w:rPr>
          <w:rFonts w:asciiTheme="minorHAnsi" w:hAnsiTheme="minorHAnsi" w:cstheme="minorHAnsi"/>
          <w:szCs w:val="20"/>
        </w:rPr>
        <w:t>Ensure country ownership of the project and alignment with national policies and priorities.</w:t>
      </w:r>
    </w:p>
    <w:p w14:paraId="71AB69CE" w14:textId="77777777" w:rsidR="00535BB4" w:rsidRPr="00AC0422" w:rsidRDefault="00535BB4" w:rsidP="00535BB4">
      <w:pPr>
        <w:rPr>
          <w:rFonts w:asciiTheme="minorHAnsi" w:hAnsiTheme="minorHAnsi" w:cstheme="minorHAnsi"/>
          <w:szCs w:val="20"/>
        </w:rPr>
      </w:pPr>
    </w:p>
    <w:p w14:paraId="58070875" w14:textId="77777777" w:rsidR="00535BB4" w:rsidRPr="00AC0422" w:rsidRDefault="00535BB4" w:rsidP="005D2C02">
      <w:pPr>
        <w:numPr>
          <w:ilvl w:val="0"/>
          <w:numId w:val="58"/>
        </w:numPr>
        <w:spacing w:after="0"/>
        <w:jc w:val="left"/>
        <w:rPr>
          <w:rFonts w:asciiTheme="minorHAnsi" w:hAnsiTheme="minorHAnsi" w:cstheme="minorHAnsi"/>
          <w:b/>
          <w:bCs/>
          <w:szCs w:val="20"/>
        </w:rPr>
      </w:pPr>
      <w:r w:rsidRPr="00AC0422">
        <w:rPr>
          <w:rFonts w:asciiTheme="minorHAnsi" w:hAnsiTheme="minorHAnsi" w:cstheme="minorHAnsi"/>
          <w:b/>
          <w:bCs/>
          <w:szCs w:val="20"/>
        </w:rPr>
        <w:t>Project Management Unit (PMU)</w:t>
      </w:r>
    </w:p>
    <w:p w14:paraId="20DC5DAD"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Implementation will be done under the overall management of the Project Manager. The PMU will report to the Project Board and the Team Leader for Climate Change and Environment in accordance with UNDP rules and regulations. Services provided by the PMU include, inter alia, support to recruitment and contracting of project management and technical staff; procurement of goods and services for project inputs; developing Annual Work Plans; support for budget and financial management, among others. The PMU will comprise of a Project Manager and a Project Associate.</w:t>
      </w:r>
    </w:p>
    <w:p w14:paraId="41028246"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Roles and Responsibilities:</w:t>
      </w:r>
    </w:p>
    <w:p w14:paraId="184C9BC3" w14:textId="77777777" w:rsidR="00535BB4" w:rsidRPr="00AC0422" w:rsidRDefault="00535BB4" w:rsidP="005D2C02">
      <w:pPr>
        <w:numPr>
          <w:ilvl w:val="1"/>
          <w:numId w:val="50"/>
        </w:numPr>
        <w:spacing w:after="0"/>
        <w:jc w:val="left"/>
        <w:rPr>
          <w:rFonts w:asciiTheme="minorHAnsi" w:hAnsiTheme="minorHAnsi" w:cstheme="minorHAnsi"/>
          <w:szCs w:val="20"/>
        </w:rPr>
      </w:pPr>
      <w:r w:rsidRPr="00AC0422">
        <w:rPr>
          <w:rFonts w:asciiTheme="minorHAnsi" w:hAnsiTheme="minorHAnsi" w:cstheme="minorHAnsi"/>
          <w:szCs w:val="20"/>
        </w:rPr>
        <w:t>Oversee the day-to-day implementation of project activities.</w:t>
      </w:r>
    </w:p>
    <w:p w14:paraId="4E0043A2" w14:textId="77777777" w:rsidR="00535BB4" w:rsidRPr="00AC0422" w:rsidRDefault="00535BB4" w:rsidP="005D2C02">
      <w:pPr>
        <w:numPr>
          <w:ilvl w:val="1"/>
          <w:numId w:val="50"/>
        </w:numPr>
        <w:spacing w:after="0"/>
        <w:jc w:val="left"/>
        <w:rPr>
          <w:rFonts w:asciiTheme="minorHAnsi" w:hAnsiTheme="minorHAnsi" w:cstheme="minorHAnsi"/>
          <w:szCs w:val="20"/>
        </w:rPr>
      </w:pPr>
      <w:r w:rsidRPr="00AC0422">
        <w:rPr>
          <w:rFonts w:asciiTheme="minorHAnsi" w:hAnsiTheme="minorHAnsi" w:cstheme="minorHAnsi"/>
          <w:szCs w:val="20"/>
        </w:rPr>
        <w:lastRenderedPageBreak/>
        <w:t xml:space="preserve">Provide interim report including the budget &amp; expenditure reporting and procurement plan for the project. </w:t>
      </w:r>
    </w:p>
    <w:p w14:paraId="7B2F75BD" w14:textId="77777777" w:rsidR="00535BB4" w:rsidRPr="00AC0422" w:rsidRDefault="00535BB4" w:rsidP="005D2C02">
      <w:pPr>
        <w:numPr>
          <w:ilvl w:val="1"/>
          <w:numId w:val="50"/>
        </w:numPr>
        <w:spacing w:after="0"/>
        <w:jc w:val="left"/>
        <w:rPr>
          <w:rFonts w:asciiTheme="minorHAnsi" w:hAnsiTheme="minorHAnsi" w:cstheme="minorHAnsi"/>
          <w:szCs w:val="20"/>
        </w:rPr>
      </w:pPr>
      <w:r w:rsidRPr="00AC0422">
        <w:rPr>
          <w:rFonts w:asciiTheme="minorHAnsi" w:hAnsiTheme="minorHAnsi" w:cstheme="minorHAnsi"/>
          <w:szCs w:val="20"/>
        </w:rPr>
        <w:t>Identify relevant stakeholders to participate in project activities in coordination with the NAP Coordination Unit</w:t>
      </w:r>
    </w:p>
    <w:p w14:paraId="66C4D655" w14:textId="77777777" w:rsidR="00535BB4" w:rsidRPr="00AC0422" w:rsidRDefault="00535BB4" w:rsidP="005D2C02">
      <w:pPr>
        <w:numPr>
          <w:ilvl w:val="1"/>
          <w:numId w:val="50"/>
        </w:numPr>
        <w:spacing w:after="0"/>
        <w:jc w:val="left"/>
        <w:rPr>
          <w:rFonts w:asciiTheme="minorHAnsi" w:hAnsiTheme="minorHAnsi" w:cstheme="minorHAnsi"/>
          <w:szCs w:val="20"/>
        </w:rPr>
      </w:pPr>
      <w:r w:rsidRPr="00AC0422">
        <w:rPr>
          <w:rFonts w:asciiTheme="minorHAnsi" w:hAnsiTheme="minorHAnsi" w:cstheme="minorHAnsi"/>
          <w:szCs w:val="20"/>
        </w:rPr>
        <w:t>Develop and approve the TORs (technically cleared by NDA) for consultants to be hired to carry out technical assessments under the project.</w:t>
      </w:r>
    </w:p>
    <w:p w14:paraId="285F72B1" w14:textId="77777777" w:rsidR="00535BB4" w:rsidRPr="00AC0422" w:rsidRDefault="00535BB4" w:rsidP="005D2C02">
      <w:pPr>
        <w:numPr>
          <w:ilvl w:val="0"/>
          <w:numId w:val="56"/>
        </w:numPr>
        <w:spacing w:after="0"/>
        <w:jc w:val="left"/>
        <w:rPr>
          <w:rFonts w:asciiTheme="minorHAnsi" w:hAnsiTheme="minorHAnsi" w:cstheme="minorHAnsi"/>
          <w:szCs w:val="20"/>
        </w:rPr>
      </w:pPr>
      <w:r w:rsidRPr="00AC0422">
        <w:rPr>
          <w:rFonts w:asciiTheme="minorHAnsi" w:hAnsiTheme="minorHAnsi" w:cstheme="minorHAnsi"/>
          <w:szCs w:val="20"/>
        </w:rPr>
        <w:t xml:space="preserve">Conduct regular meetings with stakeholders and local consultants including coordination of all relevant meetings </w:t>
      </w:r>
    </w:p>
    <w:p w14:paraId="70BFB4C8" w14:textId="77777777" w:rsidR="00535BB4" w:rsidRPr="00AC0422" w:rsidRDefault="00535BB4" w:rsidP="00535BB4">
      <w:pPr>
        <w:rPr>
          <w:rFonts w:asciiTheme="minorHAnsi" w:hAnsiTheme="minorHAnsi" w:cstheme="minorHAnsi"/>
          <w:b/>
          <w:bCs/>
          <w:szCs w:val="20"/>
        </w:rPr>
      </w:pPr>
    </w:p>
    <w:p w14:paraId="05875D9D" w14:textId="77777777" w:rsidR="00535BB4" w:rsidRPr="00AC0422" w:rsidRDefault="00535BB4" w:rsidP="005D2C02">
      <w:pPr>
        <w:numPr>
          <w:ilvl w:val="0"/>
          <w:numId w:val="58"/>
        </w:numPr>
        <w:spacing w:after="0"/>
        <w:jc w:val="left"/>
        <w:rPr>
          <w:rFonts w:asciiTheme="minorHAnsi" w:hAnsiTheme="minorHAnsi" w:cstheme="minorHAnsi"/>
          <w:b/>
          <w:bCs/>
          <w:szCs w:val="20"/>
        </w:rPr>
      </w:pPr>
      <w:r w:rsidRPr="00AC0422">
        <w:rPr>
          <w:rFonts w:asciiTheme="minorHAnsi" w:hAnsiTheme="minorHAnsi" w:cstheme="minorHAnsi"/>
          <w:b/>
          <w:bCs/>
          <w:szCs w:val="20"/>
        </w:rPr>
        <w:t>Beneficiaries and Supporting Stakeholders</w:t>
      </w:r>
    </w:p>
    <w:p w14:paraId="351EF460" w14:textId="77777777" w:rsidR="00535BB4" w:rsidRPr="00AC0422" w:rsidRDefault="00535BB4" w:rsidP="00535BB4">
      <w:pPr>
        <w:rPr>
          <w:rFonts w:asciiTheme="minorHAnsi" w:hAnsiTheme="minorHAnsi" w:cstheme="minorHAnsi"/>
          <w:szCs w:val="20"/>
        </w:rPr>
      </w:pPr>
      <w:r w:rsidRPr="00AC0422">
        <w:rPr>
          <w:rFonts w:asciiTheme="minorHAnsi" w:hAnsiTheme="minorHAnsi" w:cstheme="minorHAnsi"/>
          <w:szCs w:val="20"/>
        </w:rPr>
        <w:t>The project engages a diverse set of stakeholders, including:</w:t>
      </w:r>
    </w:p>
    <w:p w14:paraId="7F91E462" w14:textId="77777777" w:rsidR="00535BB4" w:rsidRPr="00AC0422" w:rsidRDefault="00535BB4" w:rsidP="005D2C02">
      <w:pPr>
        <w:numPr>
          <w:ilvl w:val="0"/>
          <w:numId w:val="59"/>
        </w:numPr>
        <w:spacing w:after="0"/>
        <w:jc w:val="left"/>
        <w:rPr>
          <w:rFonts w:asciiTheme="minorHAnsi" w:hAnsiTheme="minorHAnsi" w:cstheme="minorHAnsi"/>
          <w:szCs w:val="20"/>
        </w:rPr>
      </w:pPr>
      <w:r w:rsidRPr="00AC0422">
        <w:rPr>
          <w:rFonts w:asciiTheme="minorHAnsi" w:hAnsiTheme="minorHAnsi" w:cstheme="minorHAnsi"/>
          <w:szCs w:val="20"/>
        </w:rPr>
        <w:t>Line Ministries: Support integration of climate adaptation measures into national and sectoral strategies.</w:t>
      </w:r>
    </w:p>
    <w:p w14:paraId="1AF377D1" w14:textId="77777777" w:rsidR="00535BB4" w:rsidRPr="00AC0422" w:rsidRDefault="00535BB4" w:rsidP="005D2C02">
      <w:pPr>
        <w:numPr>
          <w:ilvl w:val="0"/>
          <w:numId w:val="59"/>
        </w:numPr>
        <w:spacing w:after="0"/>
        <w:jc w:val="left"/>
        <w:rPr>
          <w:rFonts w:asciiTheme="minorHAnsi" w:hAnsiTheme="minorHAnsi" w:cstheme="minorHAnsi"/>
          <w:szCs w:val="20"/>
        </w:rPr>
      </w:pPr>
      <w:r w:rsidRPr="00AC0422">
        <w:rPr>
          <w:rFonts w:asciiTheme="minorHAnsi" w:hAnsiTheme="minorHAnsi" w:cstheme="minorHAnsi"/>
          <w:szCs w:val="20"/>
        </w:rPr>
        <w:t>Civil Society Organizations (CSOs): Represent vulnerable groups and ensure local needs are reflected in adaptation planning.</w:t>
      </w:r>
    </w:p>
    <w:p w14:paraId="09485C47" w14:textId="77777777" w:rsidR="00535BB4" w:rsidRPr="00AC0422" w:rsidRDefault="00535BB4" w:rsidP="005D2C02">
      <w:pPr>
        <w:numPr>
          <w:ilvl w:val="0"/>
          <w:numId w:val="59"/>
        </w:numPr>
        <w:spacing w:after="0"/>
        <w:jc w:val="left"/>
        <w:rPr>
          <w:rFonts w:asciiTheme="minorHAnsi" w:hAnsiTheme="minorHAnsi" w:cstheme="minorHAnsi"/>
          <w:szCs w:val="20"/>
        </w:rPr>
      </w:pPr>
      <w:r w:rsidRPr="00AC0422">
        <w:rPr>
          <w:rFonts w:asciiTheme="minorHAnsi" w:hAnsiTheme="minorHAnsi" w:cstheme="minorHAnsi"/>
          <w:szCs w:val="20"/>
        </w:rPr>
        <w:t>Academia: Contribute to research and capacity-building initiatives.</w:t>
      </w:r>
    </w:p>
    <w:p w14:paraId="3808D0FB" w14:textId="77777777" w:rsidR="00535BB4" w:rsidRPr="00AC0422" w:rsidRDefault="00535BB4" w:rsidP="005D2C02">
      <w:pPr>
        <w:numPr>
          <w:ilvl w:val="0"/>
          <w:numId w:val="59"/>
        </w:numPr>
        <w:spacing w:after="0"/>
        <w:jc w:val="left"/>
        <w:rPr>
          <w:rFonts w:asciiTheme="minorHAnsi" w:hAnsiTheme="minorHAnsi" w:cstheme="minorHAnsi"/>
          <w:szCs w:val="20"/>
        </w:rPr>
      </w:pPr>
      <w:r w:rsidRPr="00AC0422">
        <w:rPr>
          <w:rFonts w:asciiTheme="minorHAnsi" w:hAnsiTheme="minorHAnsi" w:cstheme="minorHAnsi"/>
          <w:szCs w:val="20"/>
        </w:rPr>
        <w:t>Women and Youth Groups: Ensure inclusivity and gender-sensitive adaptation measures.</w:t>
      </w:r>
    </w:p>
    <w:p w14:paraId="34AE18CF" w14:textId="77777777" w:rsidR="00535BB4" w:rsidRPr="00AC0422" w:rsidRDefault="00535BB4" w:rsidP="00DA5FA3">
      <w:pPr>
        <w:spacing w:after="0"/>
        <w:jc w:val="left"/>
        <w:rPr>
          <w:rFonts w:asciiTheme="minorHAnsi" w:hAnsiTheme="minorHAnsi" w:cstheme="minorHAnsi"/>
          <w:noProof/>
          <w:szCs w:val="20"/>
          <w:u w:val="single"/>
          <w:lang w:eastAsia="zh-CN"/>
        </w:rPr>
      </w:pPr>
    </w:p>
    <w:p w14:paraId="069ADB83" w14:textId="77777777" w:rsidR="00F22E61" w:rsidRPr="00AC0422" w:rsidRDefault="00F22E61" w:rsidP="00F22E61">
      <w:pPr>
        <w:rPr>
          <w:rFonts w:asciiTheme="minorHAnsi" w:eastAsia="Arial" w:hAnsiTheme="minorHAnsi" w:cstheme="minorHAnsi"/>
          <w:szCs w:val="20"/>
          <w:lang w:val="en-GB"/>
        </w:rPr>
      </w:pPr>
      <w:r w:rsidRPr="00AC0422">
        <w:rPr>
          <w:rFonts w:asciiTheme="minorHAnsi" w:eastAsia="Arial" w:hAnsiTheme="minorHAnsi" w:cstheme="minorHAnsi"/>
          <w:b/>
          <w:bCs/>
          <w:szCs w:val="20"/>
          <w:lang w:val="en-GB"/>
        </w:rPr>
        <w:t>Project Manager</w:t>
      </w:r>
      <w:r w:rsidRPr="00AC0422">
        <w:rPr>
          <w:rFonts w:asciiTheme="minorHAnsi" w:eastAsia="Arial" w:hAnsiTheme="minorHAnsi" w:cstheme="minorHAnsi"/>
          <w:szCs w:val="20"/>
          <w:lang w:val="en-GB"/>
        </w:rPr>
        <w:t>: The Project Manager 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The Delivery Partner appoints the Project Manager, who should be different from the Delivery  Partner’s representative in the Project Board.</w:t>
      </w:r>
    </w:p>
    <w:p w14:paraId="7DE3EDA7" w14:textId="77777777" w:rsidR="00F22E61" w:rsidRPr="00AC0422" w:rsidRDefault="00F22E61" w:rsidP="00F22E61">
      <w:pPr>
        <w:spacing w:line="257" w:lineRule="auto"/>
        <w:rPr>
          <w:rFonts w:asciiTheme="minorHAnsi" w:eastAsia="Arial" w:hAnsiTheme="minorHAnsi" w:cstheme="minorHAnsi"/>
          <w:szCs w:val="20"/>
          <w:lang w:val="en-GB"/>
        </w:rPr>
      </w:pPr>
      <w:r w:rsidRPr="00AC0422">
        <w:rPr>
          <w:rFonts w:asciiTheme="minorHAnsi" w:eastAsia="Arial" w:hAnsiTheme="minorHAnsi" w:cstheme="minorHAnsi"/>
          <w:szCs w:val="20"/>
          <w:lang w:val="en-GB"/>
        </w:rPr>
        <w:t>Specific responsibilities include:</w:t>
      </w:r>
    </w:p>
    <w:p w14:paraId="2C21214C"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Ensure proper management of project implementation, personnel and engaged experts by top-quality management of project activities, outputs, expenditures and budgetary status of the project. </w:t>
      </w:r>
    </w:p>
    <w:p w14:paraId="0E071D3B"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Work closely with relevant project personnel, supervising and backstopping their activities, the use of project funds and timely delivery of quality results. </w:t>
      </w:r>
    </w:p>
    <w:p w14:paraId="41F911E3"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Ensure timely preparation and top-quality of regular and ad-hoc project reports, and that monitoring, and evaluation of the project is conducted in accordance to donor requirements and UNDP rules and procedures. </w:t>
      </w:r>
    </w:p>
    <w:p w14:paraId="0B3006D0"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Provide policy advice on key issues in the area of climate change adaptation. </w:t>
      </w:r>
    </w:p>
    <w:p w14:paraId="4C8208C4"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Identify, collect and analyse policy-related, relevant information and data. </w:t>
      </w:r>
    </w:p>
    <w:p w14:paraId="339731AD"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Codify and provide best practices and lessons learnt, particularly linked to the areas of capacity development and national (economic, social and human) development.</w:t>
      </w:r>
    </w:p>
    <w:p w14:paraId="4A5997F5"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Assist in engaging the government in constructive dialogue on the achievement of Project outcomes. </w:t>
      </w:r>
    </w:p>
    <w:p w14:paraId="6A27713C"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Maintain continuous dialogue and coordination with national partners regarding the implementation of projects activities, </w:t>
      </w:r>
    </w:p>
    <w:p w14:paraId="063005D5"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Contribute to visibility of project results to relevant national and international stakeholders and audiences. </w:t>
      </w:r>
    </w:p>
    <w:p w14:paraId="7B5C7998" w14:textId="77777777" w:rsidR="00F22E61" w:rsidRPr="00AC0422" w:rsidRDefault="00F22E61" w:rsidP="005D2C02">
      <w:pPr>
        <w:pStyle w:val="ListParagraph"/>
        <w:numPr>
          <w:ilvl w:val="0"/>
          <w:numId w:val="52"/>
        </w:numPr>
        <w:spacing w:line="259"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Build partnerships with various governmental agencies, international organizations, banks, the private sector and civil society with a view to creating a platform for support to the Government of Serbia.</w:t>
      </w:r>
    </w:p>
    <w:p w14:paraId="25B1A56C" w14:textId="77777777" w:rsidR="00F22E61" w:rsidRPr="00AC0422" w:rsidRDefault="00F22E61" w:rsidP="00F22E61">
      <w:pPr>
        <w:spacing w:line="257" w:lineRule="auto"/>
        <w:rPr>
          <w:rFonts w:asciiTheme="minorHAnsi" w:eastAsia="Arial" w:hAnsiTheme="minorHAnsi" w:cstheme="minorHAnsi"/>
          <w:b/>
          <w:bCs/>
          <w:szCs w:val="20"/>
          <w:lang w:val="en-GB"/>
        </w:rPr>
      </w:pPr>
    </w:p>
    <w:p w14:paraId="2B23D49C" w14:textId="77777777" w:rsidR="00F22E61" w:rsidRPr="00AC0422" w:rsidRDefault="00F22E61" w:rsidP="00F22E61">
      <w:pPr>
        <w:spacing w:line="257" w:lineRule="auto"/>
        <w:rPr>
          <w:rFonts w:asciiTheme="minorHAnsi" w:eastAsia="Arial" w:hAnsiTheme="minorHAnsi" w:cstheme="minorHAnsi"/>
          <w:szCs w:val="20"/>
          <w:lang w:val="en-GB"/>
        </w:rPr>
      </w:pPr>
      <w:r w:rsidRPr="00AC0422">
        <w:rPr>
          <w:rFonts w:asciiTheme="minorHAnsi" w:eastAsia="Arial" w:hAnsiTheme="minorHAnsi" w:cstheme="minorHAnsi"/>
          <w:b/>
          <w:bCs/>
          <w:szCs w:val="20"/>
          <w:lang w:val="en-GB"/>
        </w:rPr>
        <w:t>Project Associate</w:t>
      </w:r>
      <w:r w:rsidRPr="00AC0422">
        <w:rPr>
          <w:rFonts w:asciiTheme="minorHAnsi" w:eastAsia="Arial" w:hAnsiTheme="minorHAnsi" w:cstheme="minorHAnsi"/>
          <w:szCs w:val="20"/>
          <w:lang w:val="en-GB"/>
        </w:rPr>
        <w:t xml:space="preserve"> who supports the project manager in the day-to-day management of the project, including for providing logistical and general administrative support, preparing documentation for the recruitment of consultants and contractual aspects of the project, and tracking and monitoring the project expenditures.</w:t>
      </w:r>
    </w:p>
    <w:p w14:paraId="18A03D3D" w14:textId="77777777" w:rsidR="00F22E61" w:rsidRPr="00AC0422" w:rsidRDefault="00F22E61" w:rsidP="00F22E61">
      <w:pPr>
        <w:spacing w:line="257" w:lineRule="auto"/>
        <w:rPr>
          <w:rFonts w:asciiTheme="minorHAnsi" w:eastAsia="Arial" w:hAnsiTheme="minorHAnsi" w:cstheme="minorHAnsi"/>
          <w:szCs w:val="20"/>
          <w:lang w:val="en-GB"/>
        </w:rPr>
      </w:pPr>
      <w:r w:rsidRPr="00AC0422">
        <w:rPr>
          <w:rFonts w:asciiTheme="minorHAnsi" w:eastAsia="Arial" w:hAnsiTheme="minorHAnsi" w:cstheme="minorHAnsi"/>
          <w:szCs w:val="20"/>
          <w:lang w:val="en-GB"/>
        </w:rPr>
        <w:t>Specific responsibilities include:</w:t>
      </w:r>
    </w:p>
    <w:p w14:paraId="565A1B76"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Provide support to project implementation, support the day-to-day project activities. </w:t>
      </w:r>
    </w:p>
    <w:p w14:paraId="59DC5096"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Provide inputs for development of project monitoring and evaluation framework.</w:t>
      </w:r>
    </w:p>
    <w:p w14:paraId="740C78B5"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lastRenderedPageBreak/>
        <w:t>Assist in preparing work plans and project reports.</w:t>
      </w:r>
    </w:p>
    <w:p w14:paraId="1D7FBF60"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Identify and collect policy-related and other relevant information, documents and data, compile and analyse data for further use in project management. </w:t>
      </w:r>
    </w:p>
    <w:p w14:paraId="48DD96DF"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Support organization and coordination of meetings, training sessions, workshops, conferences, and project events and prepare reports and meeting minutes, as required. </w:t>
      </w:r>
    </w:p>
    <w:p w14:paraId="77F1D069"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Draft terms of reference for consultants and contractors, as required, prepare briefs, talking points and relevant communication materials, draft correspondence on project issues, as required.</w:t>
      </w:r>
    </w:p>
    <w:p w14:paraId="12D53F76"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Establish and maintain project filing system, incoming and outgoing correspondence and maintain calendar of events.</w:t>
      </w:r>
    </w:p>
    <w:p w14:paraId="19F05A53"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Follow up with (sub)contractors to ensure time delivery of outputs.</w:t>
      </w:r>
    </w:p>
    <w:p w14:paraId="34C5EE6E"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Maintain cooperation and communication with project’s partners and beneficiaries on the implementation of the agreed activities, especially for the events, trainings, workshops, etc.</w:t>
      </w:r>
    </w:p>
    <w:p w14:paraId="2858C85B"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Facilitate knowledge building and knowledge sharing within the project team.</w:t>
      </w:r>
    </w:p>
    <w:p w14:paraId="710B0F17"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Participate in recruitment and evaluation panels, as required.</w:t>
      </w:r>
    </w:p>
    <w:p w14:paraId="504EE2DC"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 xml:space="preserve">Support in managing project finances, processing invoices, and ensuring tax exemption for project related goods and services. </w:t>
      </w:r>
    </w:p>
    <w:p w14:paraId="7D61F559"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Support procurement processes, provide inputs for request for quotations/proposals, prepare tenders and small procurements (canvassing), provide inputs for UNDP procurement plan.</w:t>
      </w:r>
    </w:p>
    <w:p w14:paraId="320E58F6"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Support recruitment of short-term consultants in line with rules and regulations</w:t>
      </w:r>
    </w:p>
    <w:p w14:paraId="6B7791FB"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Assist project teams, experts and consultants on travel and logistics matters.</w:t>
      </w:r>
    </w:p>
    <w:p w14:paraId="6528485C" w14:textId="77777777" w:rsidR="00F22E61" w:rsidRPr="00AC0422" w:rsidRDefault="00F22E61" w:rsidP="005D2C02">
      <w:pPr>
        <w:pStyle w:val="ListParagraph"/>
        <w:numPr>
          <w:ilvl w:val="0"/>
          <w:numId w:val="51"/>
        </w:numPr>
        <w:spacing w:line="257" w:lineRule="auto"/>
        <w:contextualSpacing/>
        <w:rPr>
          <w:rFonts w:asciiTheme="minorHAnsi" w:eastAsia="Arial" w:hAnsiTheme="minorHAnsi" w:cstheme="minorHAnsi"/>
          <w:sz w:val="20"/>
          <w:szCs w:val="20"/>
          <w:lang w:val="en-GB"/>
        </w:rPr>
      </w:pPr>
      <w:r w:rsidRPr="00AC0422">
        <w:rPr>
          <w:rFonts w:asciiTheme="minorHAnsi" w:eastAsia="Arial" w:hAnsiTheme="minorHAnsi" w:cstheme="minorHAnsi"/>
          <w:sz w:val="20"/>
          <w:szCs w:val="20"/>
          <w:lang w:val="en-GB"/>
        </w:rPr>
        <w:t>Ensure full compliance of activities with UNDP rules, regulations, and policies.</w:t>
      </w:r>
    </w:p>
    <w:p w14:paraId="4110124D" w14:textId="77777777" w:rsidR="00535BB4" w:rsidRPr="00AC0422" w:rsidRDefault="00535BB4" w:rsidP="00DA5FA3">
      <w:pPr>
        <w:spacing w:after="0"/>
        <w:jc w:val="left"/>
        <w:rPr>
          <w:rFonts w:asciiTheme="minorHAnsi" w:hAnsiTheme="minorHAnsi" w:cstheme="minorHAnsi"/>
          <w:noProof/>
          <w:szCs w:val="20"/>
          <w:u w:val="single"/>
          <w:lang w:eastAsia="zh-CN"/>
        </w:rPr>
      </w:pPr>
    </w:p>
    <w:p w14:paraId="6DE8393E" w14:textId="0A6D6E00" w:rsidR="003031FA" w:rsidRPr="00AC0422" w:rsidRDefault="003031FA" w:rsidP="003031FA">
      <w:pPr>
        <w:spacing w:after="120"/>
        <w:rPr>
          <w:rFonts w:asciiTheme="minorHAnsi" w:hAnsiTheme="minorHAnsi" w:cstheme="minorHAnsi"/>
          <w:color w:val="808080" w:themeColor="background1" w:themeShade="80"/>
          <w:szCs w:val="20"/>
        </w:rPr>
      </w:pPr>
      <w:r w:rsidRPr="00AC0422">
        <w:rPr>
          <w:rFonts w:asciiTheme="minorHAnsi" w:eastAsia="Arial" w:hAnsiTheme="minorHAnsi" w:cstheme="minorHAnsi"/>
          <w:b/>
          <w:bCs/>
          <w:szCs w:val="20"/>
        </w:rPr>
        <w:t>Project Assurance:</w:t>
      </w:r>
      <w:r w:rsidRPr="00AC0422">
        <w:rPr>
          <w:rFonts w:asciiTheme="minorHAnsi" w:eastAsia="Arial" w:hAnsiTheme="minorHAnsi" w:cstheme="minorHAnsi"/>
          <w:szCs w:val="20"/>
        </w:rPr>
        <w:t xml:space="preserve"> UNDP provides a three–tier oversight and quality assurance role involving UNDP staff in Country Offices and at regional and headquarters levels. For the CO level, the project assurance role will be played by the team leader, with the RTA and the UNDP-</w:t>
      </w:r>
      <w:r w:rsidR="00DA2CCA">
        <w:rPr>
          <w:rFonts w:asciiTheme="minorHAnsi" w:eastAsia="Arial" w:hAnsiTheme="minorHAnsi" w:cstheme="minorHAnsi"/>
          <w:szCs w:val="20"/>
        </w:rPr>
        <w:t>Climate Hub</w:t>
      </w:r>
      <w:r w:rsidRPr="00AC0422">
        <w:rPr>
          <w:rFonts w:asciiTheme="minorHAnsi" w:eastAsia="Arial" w:hAnsiTheme="minorHAnsi" w:cstheme="minorHAnsi"/>
          <w:szCs w:val="20"/>
        </w:rPr>
        <w:t xml:space="preserve"> NY team at regional and NY levels respectively. The quality assurance role supports the Project Board by carrying out objective and independent project oversight and monitoring functions. This role ensures appropriate project management milestones are managed and completed. Project Assurance must be independent of the Project Management function; the Project Board cannot delegate any of its quality assurance responsibilities to the Project Manager.  The project assurance role is covered by the delivery partner fee provided by the GCF. As an Accredited Entity to the GCF, UNDP is required to deliver GCF-specific oversight and quality assurance services including: (</w:t>
      </w:r>
      <w:proofErr w:type="spellStart"/>
      <w:r w:rsidRPr="00AC0422">
        <w:rPr>
          <w:rFonts w:asciiTheme="minorHAnsi" w:eastAsia="Arial" w:hAnsiTheme="minorHAnsi" w:cstheme="minorHAnsi"/>
          <w:szCs w:val="20"/>
        </w:rPr>
        <w:t>i</w:t>
      </w:r>
      <w:proofErr w:type="spellEnd"/>
      <w:r w:rsidRPr="00AC0422">
        <w:rPr>
          <w:rFonts w:asciiTheme="minorHAnsi" w:eastAsia="Arial" w:hAnsiTheme="minorHAnsi" w:cstheme="minorHAnsi"/>
          <w:szCs w:val="20"/>
        </w:rPr>
        <w:t>) Day-to-day oversight supervision, (ii) Oversight of project completion, (iii) Oversight of project reporting. Therefore, UNDP-</w:t>
      </w:r>
      <w:r w:rsidR="00DA2CCA" w:rsidRPr="00DA2CCA">
        <w:rPr>
          <w:rFonts w:asciiTheme="minorHAnsi" w:eastAsia="Arial" w:hAnsiTheme="minorHAnsi" w:cstheme="minorHAnsi"/>
          <w:szCs w:val="20"/>
        </w:rPr>
        <w:t xml:space="preserve"> </w:t>
      </w:r>
      <w:r w:rsidR="00DA2CCA">
        <w:rPr>
          <w:rFonts w:asciiTheme="minorHAnsi" w:eastAsia="Arial" w:hAnsiTheme="minorHAnsi" w:cstheme="minorHAnsi"/>
          <w:szCs w:val="20"/>
        </w:rPr>
        <w:t>Climate Hub</w:t>
      </w:r>
      <w:r w:rsidRPr="00AC0422">
        <w:rPr>
          <w:rFonts w:asciiTheme="minorHAnsi" w:eastAsia="Arial" w:hAnsiTheme="minorHAnsi" w:cstheme="minorHAnsi"/>
          <w:szCs w:val="20"/>
        </w:rPr>
        <w:t xml:space="preserve"> Unit will provide technical advisory services to country under the GCF NAP projects; guide and review country activities focused on stocktaking of on-going and completed initiatives of relevance to informing and contributing to the national adaptation plans process; and provide timely quality information and technical advice on policies, priorities and activities for GCF funded NAP and related projects.</w:t>
      </w:r>
      <w:r w:rsidRPr="00AC0422">
        <w:rPr>
          <w:rFonts w:asciiTheme="minorHAnsi" w:hAnsiTheme="minorHAnsi" w:cstheme="minorHAnsi"/>
          <w:szCs w:val="20"/>
        </w:rPr>
        <w:t xml:space="preserve"> </w:t>
      </w:r>
    </w:p>
    <w:p w14:paraId="2DEEF44B" w14:textId="47E399C9" w:rsidR="00B838E1" w:rsidRPr="00AC0422" w:rsidRDefault="000A35E6" w:rsidP="000A35E6">
      <w:pPr>
        <w:spacing w:after="120"/>
        <w:rPr>
          <w:rFonts w:asciiTheme="minorHAnsi" w:hAnsiTheme="minorHAnsi" w:cstheme="minorHAnsi"/>
          <w:szCs w:val="20"/>
        </w:rPr>
      </w:pPr>
      <w:r w:rsidRPr="00AC0422">
        <w:rPr>
          <w:rFonts w:asciiTheme="minorHAnsi" w:hAnsiTheme="minorHAnsi" w:cstheme="minorHAnsi"/>
          <w:szCs w:val="20"/>
        </w:rPr>
        <w:t>As a Delivery Partner to the GCF, UNDP delivers the following GCF-specific oversight and quality assurance services:</w:t>
      </w:r>
      <w:r w:rsidRPr="00AC0422">
        <w:rPr>
          <w:rFonts w:asciiTheme="minorHAnsi" w:hAnsiTheme="minorHAnsi" w:cstheme="minorHAnsi"/>
          <w:b/>
          <w:szCs w:val="20"/>
        </w:rPr>
        <w:t xml:space="preserve"> </w:t>
      </w:r>
      <w:r w:rsidRPr="00AC0422">
        <w:rPr>
          <w:rFonts w:asciiTheme="minorHAnsi" w:hAnsiTheme="minorHAnsi" w:cstheme="minorHAnsi"/>
          <w:szCs w:val="20"/>
        </w:rPr>
        <w:t>(</w:t>
      </w:r>
      <w:proofErr w:type="spellStart"/>
      <w:r w:rsidRPr="00AC0422">
        <w:rPr>
          <w:rFonts w:asciiTheme="minorHAnsi" w:hAnsiTheme="minorHAnsi" w:cstheme="minorHAnsi"/>
          <w:szCs w:val="20"/>
        </w:rPr>
        <w:t>i</w:t>
      </w:r>
      <w:proofErr w:type="spellEnd"/>
      <w:r w:rsidRPr="00AC0422">
        <w:rPr>
          <w:rFonts w:asciiTheme="minorHAnsi" w:hAnsiTheme="minorHAnsi" w:cstheme="minorHAnsi"/>
          <w:szCs w:val="20"/>
        </w:rPr>
        <w:t xml:space="preserve">) day to day project oversight supervision covering the start-up and implementation; (ii) oversight of project completion; and (iii) oversight of project reporting. A detailed list of the services is presented in the table below. </w:t>
      </w:r>
    </w:p>
    <w:p w14:paraId="6D8FE5A4" w14:textId="77777777" w:rsidR="00865986" w:rsidRPr="00AC0422" w:rsidRDefault="00865986" w:rsidP="00865986">
      <w:pPr>
        <w:rPr>
          <w:rFonts w:asciiTheme="minorHAnsi" w:hAnsiTheme="minorHAnsi" w:cstheme="minorHAnsi"/>
        </w:rPr>
      </w:pPr>
    </w:p>
    <w:tbl>
      <w:tblPr>
        <w:tblW w:w="9443" w:type="dxa"/>
        <w:tblInd w:w="-3" w:type="dxa"/>
        <w:tblCellMar>
          <w:left w:w="0" w:type="dxa"/>
          <w:right w:w="0" w:type="dxa"/>
        </w:tblCellMar>
        <w:tblLook w:val="04A0" w:firstRow="1" w:lastRow="0" w:firstColumn="1" w:lastColumn="0" w:noHBand="0" w:noVBand="1"/>
      </w:tblPr>
      <w:tblGrid>
        <w:gridCol w:w="1703"/>
        <w:gridCol w:w="6480"/>
        <w:gridCol w:w="1260"/>
      </w:tblGrid>
      <w:tr w:rsidR="00865986" w:rsidRPr="00AC0422" w14:paraId="4B9AEB71" w14:textId="77777777" w:rsidTr="002D620B">
        <w:trPr>
          <w:trHeight w:val="615"/>
          <w:tblHeader/>
        </w:trPr>
        <w:tc>
          <w:tcPr>
            <w:tcW w:w="1703" w:type="dxa"/>
            <w:tcBorders>
              <w:top w:val="single" w:sz="8" w:space="0" w:color="auto"/>
              <w:left w:val="single" w:sz="8" w:space="0" w:color="auto"/>
              <w:bottom w:val="single" w:sz="8" w:space="0" w:color="auto"/>
              <w:right w:val="single" w:sz="8" w:space="0" w:color="auto"/>
            </w:tcBorders>
            <w:shd w:val="clear" w:color="auto" w:fill="006600"/>
            <w:vAlign w:val="center"/>
          </w:tcPr>
          <w:p w14:paraId="4469B74C" w14:textId="77777777" w:rsidR="00865986" w:rsidRPr="00AC0422" w:rsidRDefault="00865986" w:rsidP="002D620B">
            <w:pPr>
              <w:jc w:val="center"/>
              <w:rPr>
                <w:rFonts w:asciiTheme="minorHAnsi" w:hAnsiTheme="minorHAnsi" w:cstheme="minorHAnsi"/>
                <w:b/>
                <w:bCs/>
                <w:color w:val="FFFFFF" w:themeColor="background1"/>
                <w:sz w:val="18"/>
                <w:szCs w:val="18"/>
              </w:rPr>
            </w:pPr>
            <w:r w:rsidRPr="00AC0422">
              <w:rPr>
                <w:rFonts w:asciiTheme="minorHAnsi" w:hAnsiTheme="minorHAnsi" w:cstheme="minorHAnsi"/>
                <w:b/>
                <w:bCs/>
                <w:color w:val="FFFFFF" w:themeColor="background1"/>
                <w:sz w:val="18"/>
                <w:szCs w:val="18"/>
              </w:rPr>
              <w:t>Function</w:t>
            </w:r>
          </w:p>
        </w:tc>
        <w:tc>
          <w:tcPr>
            <w:tcW w:w="6480" w:type="dxa"/>
            <w:tcBorders>
              <w:top w:val="single" w:sz="8" w:space="0" w:color="auto"/>
              <w:left w:val="single" w:sz="8" w:space="0" w:color="auto"/>
              <w:bottom w:val="single" w:sz="8" w:space="0" w:color="auto"/>
              <w:right w:val="single" w:sz="8" w:space="0" w:color="auto"/>
            </w:tcBorders>
            <w:shd w:val="clear" w:color="auto" w:fill="006600"/>
            <w:tcMar>
              <w:top w:w="0" w:type="dxa"/>
              <w:left w:w="108" w:type="dxa"/>
              <w:bottom w:w="0" w:type="dxa"/>
              <w:right w:w="108" w:type="dxa"/>
            </w:tcMar>
            <w:vAlign w:val="center"/>
          </w:tcPr>
          <w:p w14:paraId="26A9AC9D" w14:textId="77777777" w:rsidR="00865986" w:rsidRPr="00AC0422" w:rsidRDefault="00865986" w:rsidP="002D620B">
            <w:pPr>
              <w:jc w:val="center"/>
              <w:rPr>
                <w:rFonts w:asciiTheme="minorHAnsi" w:hAnsiTheme="minorHAnsi" w:cstheme="minorHAnsi"/>
                <w:b/>
                <w:bCs/>
                <w:color w:val="FFFFFF" w:themeColor="background1"/>
                <w:sz w:val="18"/>
                <w:szCs w:val="18"/>
              </w:rPr>
            </w:pPr>
            <w:r w:rsidRPr="00AC0422">
              <w:rPr>
                <w:rFonts w:asciiTheme="minorHAnsi" w:hAnsiTheme="minorHAnsi" w:cstheme="minorHAnsi"/>
                <w:b/>
                <w:bCs/>
                <w:color w:val="FFFFFF" w:themeColor="background1"/>
                <w:sz w:val="18"/>
                <w:szCs w:val="18"/>
              </w:rPr>
              <w:t>Detailed description of activity</w:t>
            </w:r>
          </w:p>
        </w:tc>
        <w:tc>
          <w:tcPr>
            <w:tcW w:w="1260" w:type="dxa"/>
            <w:tcBorders>
              <w:top w:val="single" w:sz="8" w:space="0" w:color="auto"/>
              <w:left w:val="nil"/>
              <w:bottom w:val="single" w:sz="8" w:space="0" w:color="auto"/>
              <w:right w:val="single" w:sz="8" w:space="0" w:color="auto"/>
            </w:tcBorders>
            <w:shd w:val="clear" w:color="auto" w:fill="006600"/>
            <w:tcMar>
              <w:top w:w="0" w:type="dxa"/>
              <w:left w:w="108" w:type="dxa"/>
              <w:bottom w:w="0" w:type="dxa"/>
              <w:right w:w="108" w:type="dxa"/>
            </w:tcMar>
            <w:vAlign w:val="center"/>
            <w:hideMark/>
          </w:tcPr>
          <w:p w14:paraId="564FB9E2" w14:textId="77777777" w:rsidR="00865986" w:rsidRPr="00AC0422" w:rsidRDefault="00865986" w:rsidP="002D620B">
            <w:pPr>
              <w:jc w:val="center"/>
              <w:rPr>
                <w:rFonts w:asciiTheme="minorHAnsi" w:hAnsiTheme="minorHAnsi" w:cstheme="minorHAnsi"/>
                <w:b/>
                <w:bCs/>
                <w:color w:val="FFFFFF" w:themeColor="background1"/>
                <w:sz w:val="18"/>
                <w:szCs w:val="18"/>
              </w:rPr>
            </w:pPr>
            <w:r w:rsidRPr="00AC0422">
              <w:rPr>
                <w:rFonts w:asciiTheme="minorHAnsi" w:hAnsiTheme="minorHAnsi" w:cstheme="minorHAnsi"/>
                <w:b/>
                <w:bCs/>
                <w:color w:val="FFFFFF" w:themeColor="background1"/>
                <w:sz w:val="18"/>
                <w:szCs w:val="18"/>
              </w:rPr>
              <w:t>Typical GCF fee breakdown</w:t>
            </w:r>
          </w:p>
        </w:tc>
      </w:tr>
      <w:tr w:rsidR="00865986" w:rsidRPr="00AC0422" w14:paraId="6E271D9F" w14:textId="77777777" w:rsidTr="002D620B">
        <w:trPr>
          <w:trHeight w:val="300"/>
        </w:trPr>
        <w:tc>
          <w:tcPr>
            <w:tcW w:w="1703" w:type="dxa"/>
            <w:tcBorders>
              <w:top w:val="nil"/>
              <w:left w:val="single" w:sz="8" w:space="0" w:color="auto"/>
              <w:bottom w:val="single" w:sz="8" w:space="0" w:color="auto"/>
              <w:right w:val="single" w:sz="8" w:space="0" w:color="auto"/>
            </w:tcBorders>
            <w:vAlign w:val="center"/>
          </w:tcPr>
          <w:p w14:paraId="11472DD0" w14:textId="77777777" w:rsidR="00865986" w:rsidRPr="00AC0422" w:rsidRDefault="00865986" w:rsidP="002D620B">
            <w:pPr>
              <w:jc w:val="center"/>
              <w:rPr>
                <w:rFonts w:asciiTheme="minorHAnsi" w:hAnsiTheme="minorHAnsi" w:cstheme="minorHAnsi"/>
                <w:b/>
                <w:bCs/>
                <w:color w:val="000000"/>
                <w:sz w:val="18"/>
                <w:szCs w:val="18"/>
              </w:rPr>
            </w:pPr>
            <w:r w:rsidRPr="00AC0422">
              <w:rPr>
                <w:rFonts w:asciiTheme="minorHAnsi" w:hAnsiTheme="minorHAnsi" w:cstheme="minorHAnsi"/>
                <w:b/>
                <w:bCs/>
                <w:color w:val="000000"/>
                <w:sz w:val="18"/>
                <w:szCs w:val="18"/>
              </w:rPr>
              <w:t>Day-to-day oversight supervision</w:t>
            </w:r>
          </w:p>
        </w:tc>
        <w:tc>
          <w:tcPr>
            <w:tcW w:w="64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2B53D48" w14:textId="77777777" w:rsidR="00865986" w:rsidRPr="00AC0422" w:rsidRDefault="00865986" w:rsidP="005D2C02">
            <w:pPr>
              <w:pStyle w:val="ListParagraph"/>
              <w:numPr>
                <w:ilvl w:val="0"/>
                <w:numId w:val="21"/>
              </w:numPr>
              <w:ind w:left="360"/>
              <w:contextualSpacing/>
              <w:jc w:val="both"/>
              <w:rPr>
                <w:rFonts w:asciiTheme="minorHAnsi" w:hAnsiTheme="minorHAnsi" w:cstheme="minorHAnsi"/>
                <w:b/>
                <w:sz w:val="18"/>
                <w:szCs w:val="18"/>
              </w:rPr>
            </w:pPr>
            <w:r w:rsidRPr="00AC0422">
              <w:rPr>
                <w:rFonts w:asciiTheme="minorHAnsi" w:hAnsiTheme="minorHAnsi" w:cstheme="minorHAnsi"/>
                <w:b/>
                <w:sz w:val="18"/>
                <w:szCs w:val="18"/>
              </w:rPr>
              <w:t>Project start-up:</w:t>
            </w:r>
          </w:p>
          <w:p w14:paraId="2DFCE041"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 xml:space="preserve">In the case of readiness proposals, if needed assist the NDA and/or government partners prepare all the necessary documentation for approval of a readiness grant proposal </w:t>
            </w:r>
          </w:p>
          <w:p w14:paraId="5933E312"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Prepare the Project Document with the government counterparts</w:t>
            </w:r>
          </w:p>
          <w:p w14:paraId="369B11FD"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Technical and financial clearance for the Project Document</w:t>
            </w:r>
          </w:p>
          <w:p w14:paraId="760DF8B0"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Organize Local Project Appraisal Committee</w:t>
            </w:r>
          </w:p>
          <w:p w14:paraId="110A79B7"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lastRenderedPageBreak/>
              <w:t>Project document signature</w:t>
            </w:r>
          </w:p>
          <w:p w14:paraId="59EC2C08"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Ensure quick project start and first disbursement</w:t>
            </w:r>
          </w:p>
          <w:p w14:paraId="546224D8"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Hire project management unit staff</w:t>
            </w:r>
          </w:p>
          <w:p w14:paraId="542C488F"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Coordinate/prepare the project inception workshop</w:t>
            </w:r>
          </w:p>
          <w:p w14:paraId="41E88AD6"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Oversee finalization of the project inception workshop report</w:t>
            </w:r>
          </w:p>
          <w:p w14:paraId="11231B5F" w14:textId="77777777" w:rsidR="00865986" w:rsidRPr="00AC0422" w:rsidRDefault="00865986" w:rsidP="002D620B">
            <w:pPr>
              <w:pStyle w:val="ListParagraph"/>
              <w:ind w:left="360"/>
              <w:contextualSpacing/>
              <w:jc w:val="both"/>
              <w:rPr>
                <w:rFonts w:asciiTheme="minorHAnsi" w:hAnsiTheme="minorHAnsi" w:cstheme="minorHAnsi"/>
                <w:sz w:val="18"/>
                <w:szCs w:val="18"/>
              </w:rPr>
            </w:pPr>
          </w:p>
          <w:p w14:paraId="0ADDC702" w14:textId="77777777" w:rsidR="00865986" w:rsidRPr="00AC0422" w:rsidRDefault="00865986" w:rsidP="005D2C02">
            <w:pPr>
              <w:pStyle w:val="ListParagraph"/>
              <w:numPr>
                <w:ilvl w:val="0"/>
                <w:numId w:val="21"/>
              </w:numPr>
              <w:ind w:left="360"/>
              <w:contextualSpacing/>
              <w:jc w:val="both"/>
              <w:rPr>
                <w:rFonts w:asciiTheme="minorHAnsi" w:hAnsiTheme="minorHAnsi" w:cstheme="minorHAnsi"/>
                <w:b/>
                <w:sz w:val="18"/>
                <w:szCs w:val="18"/>
              </w:rPr>
            </w:pPr>
            <w:r w:rsidRPr="00AC0422">
              <w:rPr>
                <w:rFonts w:asciiTheme="minorHAnsi" w:hAnsiTheme="minorHAnsi" w:cstheme="minorHAnsi"/>
                <w:b/>
                <w:sz w:val="18"/>
                <w:szCs w:val="18"/>
              </w:rPr>
              <w:t>Project implementation:</w:t>
            </w:r>
          </w:p>
          <w:p w14:paraId="792853BE"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Project Board</w:t>
            </w:r>
            <w:r w:rsidRPr="00AC0422">
              <w:rPr>
                <w:rFonts w:asciiTheme="minorHAnsi" w:hAnsiTheme="minorHAnsi" w:cstheme="minorHAnsi"/>
                <w:sz w:val="18"/>
                <w:szCs w:val="18"/>
              </w:rPr>
              <w:t>: Coordinate/prepare/attend annual Project Board Meetings</w:t>
            </w:r>
          </w:p>
          <w:p w14:paraId="1B218CD2"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Annual work plans</w:t>
            </w:r>
            <w:r w:rsidRPr="00AC0422">
              <w:rPr>
                <w:rFonts w:asciiTheme="minorHAnsi" w:hAnsiTheme="minorHAnsi" w:cstheme="minorHAnsi"/>
                <w:sz w:val="18"/>
                <w:szCs w:val="18"/>
              </w:rPr>
              <w:t>: Quality assurance of annual work plans prepared by the project team; issue UNDP annual work plan; strict monitoring of the implementation of the work plan and the project timetable according to the approved readiness proposal</w:t>
            </w:r>
          </w:p>
          <w:p w14:paraId="7124243C" w14:textId="2BECC51F"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Prepare GCF/UNDP annual project report</w:t>
            </w:r>
            <w:r w:rsidRPr="00AC0422">
              <w:rPr>
                <w:rFonts w:asciiTheme="minorHAnsi" w:hAnsiTheme="minorHAnsi" w:cstheme="minorHAnsi"/>
                <w:sz w:val="18"/>
                <w:szCs w:val="18"/>
              </w:rPr>
              <w:t>:  review input provided by Project Manager/team; provide specialized technical support and complete required sections</w:t>
            </w:r>
          </w:p>
          <w:p w14:paraId="128F0ABC" w14:textId="2A4758DF" w:rsidR="00865986" w:rsidRPr="00AC0422" w:rsidRDefault="00865986" w:rsidP="005D2C02">
            <w:pPr>
              <w:pStyle w:val="ListParagraph"/>
              <w:numPr>
                <w:ilvl w:val="0"/>
                <w:numId w:val="20"/>
              </w:numPr>
              <w:ind w:left="360"/>
              <w:rPr>
                <w:rFonts w:asciiTheme="minorHAnsi" w:hAnsiTheme="minorHAnsi" w:cstheme="minorHAnsi"/>
                <w:sz w:val="18"/>
                <w:szCs w:val="18"/>
              </w:rPr>
            </w:pPr>
            <w:r w:rsidRPr="00AC0422">
              <w:rPr>
                <w:rFonts w:asciiTheme="minorHAnsi" w:hAnsiTheme="minorHAnsi" w:cstheme="minorHAnsi"/>
                <w:sz w:val="18"/>
                <w:szCs w:val="18"/>
                <w:u w:val="single"/>
              </w:rPr>
              <w:t>Portfolio Report (readiness):</w:t>
            </w:r>
            <w:r w:rsidRPr="00AC0422">
              <w:rPr>
                <w:rFonts w:asciiTheme="minorHAnsi" w:hAnsiTheme="minorHAnsi" w:cstheme="minorHAnsi"/>
                <w:sz w:val="18"/>
                <w:szCs w:val="18"/>
              </w:rPr>
              <w:t xml:space="preserve"> Prepare and review a Portfolio Report of all readiness activities done by UNDP in line with Clause 9.02 of the </w:t>
            </w:r>
            <w:r w:rsidR="002D620B" w:rsidRPr="00AC0422">
              <w:rPr>
                <w:rFonts w:asciiTheme="minorHAnsi" w:hAnsiTheme="minorHAnsi" w:cstheme="minorHAnsi"/>
                <w:sz w:val="18"/>
                <w:szCs w:val="18"/>
              </w:rPr>
              <w:t>FWA</w:t>
            </w:r>
            <w:r w:rsidRPr="00AC0422">
              <w:rPr>
                <w:rFonts w:asciiTheme="minorHAnsi" w:hAnsiTheme="minorHAnsi" w:cstheme="minorHAnsi"/>
                <w:sz w:val="18"/>
                <w:szCs w:val="18"/>
              </w:rPr>
              <w:t>.</w:t>
            </w:r>
          </w:p>
          <w:p w14:paraId="149B885F"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Procurement plan</w:t>
            </w:r>
            <w:r w:rsidRPr="00AC0422">
              <w:rPr>
                <w:rFonts w:asciiTheme="minorHAnsi" w:hAnsiTheme="minorHAnsi" w:cstheme="minorHAnsi"/>
                <w:sz w:val="18"/>
                <w:szCs w:val="18"/>
              </w:rPr>
              <w:t>: Monitor the implementation of the project procurement plan</w:t>
            </w:r>
          </w:p>
          <w:p w14:paraId="2DCB4F39"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Supervision missions</w:t>
            </w:r>
            <w:r w:rsidRPr="00AC0422">
              <w:rPr>
                <w:rFonts w:asciiTheme="minorHAnsi" w:hAnsiTheme="minorHAnsi" w:cstheme="minorHAnsi"/>
                <w:sz w:val="18"/>
                <w:szCs w:val="18"/>
              </w:rPr>
              <w:t>: Participate in and support in-country GCF visits/learning mission/site visits; conduct annual supervision/oversight site missions</w:t>
            </w:r>
          </w:p>
          <w:p w14:paraId="6BAB05B6" w14:textId="78F4DE28"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Risk management and troubleshooting</w:t>
            </w:r>
            <w:r w:rsidRPr="00AC0422">
              <w:rPr>
                <w:rFonts w:asciiTheme="minorHAnsi" w:hAnsiTheme="minorHAnsi" w:cstheme="minorHAnsi"/>
                <w:sz w:val="18"/>
                <w:szCs w:val="18"/>
              </w:rPr>
              <w:t xml:space="preserve">: Ensure that risks are properly managed, and that the risk log in </w:t>
            </w:r>
            <w:r w:rsidR="00807536" w:rsidRPr="00AC0422">
              <w:rPr>
                <w:rFonts w:asciiTheme="minorHAnsi" w:hAnsiTheme="minorHAnsi" w:cstheme="minorHAnsi"/>
                <w:sz w:val="18"/>
                <w:szCs w:val="18"/>
              </w:rPr>
              <w:t>Quantum</w:t>
            </w:r>
            <w:r w:rsidRPr="00AC0422">
              <w:rPr>
                <w:rFonts w:asciiTheme="minorHAnsi" w:hAnsiTheme="minorHAnsi" w:cstheme="minorHAnsi"/>
                <w:sz w:val="18"/>
                <w:szCs w:val="18"/>
              </w:rPr>
              <w:t xml:space="preserve"> (UNDP financial management system) is regularly updated; Troubleshooting project missions from the regional technical advisors or management and </w:t>
            </w:r>
            <w:proofErr w:type="spellStart"/>
            <w:r w:rsidRPr="00AC0422">
              <w:rPr>
                <w:rFonts w:asciiTheme="minorHAnsi" w:hAnsiTheme="minorHAnsi" w:cstheme="minorHAnsi"/>
                <w:sz w:val="18"/>
                <w:szCs w:val="18"/>
              </w:rPr>
              <w:t>programme</w:t>
            </w:r>
            <w:proofErr w:type="spellEnd"/>
            <w:r w:rsidRPr="00AC0422">
              <w:rPr>
                <w:rFonts w:asciiTheme="minorHAnsi" w:hAnsiTheme="minorHAnsi" w:cstheme="minorHAnsi"/>
                <w:sz w:val="18"/>
                <w:szCs w:val="18"/>
              </w:rPr>
              <w:t xml:space="preserve"> support unit staff as and when necessary (i.e. high risk, slow performing projects)</w:t>
            </w:r>
          </w:p>
          <w:p w14:paraId="1B070650"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Project budget:</w:t>
            </w:r>
            <w:r w:rsidRPr="00AC0422">
              <w:rPr>
                <w:rFonts w:asciiTheme="minorHAnsi" w:hAnsiTheme="minorHAnsi" w:cstheme="minorHAnsi"/>
                <w:sz w:val="18"/>
                <w:szCs w:val="18"/>
              </w:rPr>
              <w:t xml:space="preserve"> Provide quality assurance of project budget and financial transactions according to UNDP and GCF policies</w:t>
            </w:r>
          </w:p>
          <w:p w14:paraId="7789F3D1"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Performance management of staff</w:t>
            </w:r>
            <w:r w:rsidRPr="00AC0422">
              <w:rPr>
                <w:rFonts w:asciiTheme="minorHAnsi" w:hAnsiTheme="minorHAnsi" w:cstheme="minorHAnsi"/>
                <w:sz w:val="18"/>
                <w:szCs w:val="18"/>
              </w:rPr>
              <w:t>: where UNDP supervises or co-supervises project staff</w:t>
            </w:r>
          </w:p>
          <w:p w14:paraId="025B8115"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u w:val="single"/>
              </w:rPr>
              <w:t>Corporate level policy functions</w:t>
            </w:r>
            <w:r w:rsidRPr="00AC0422">
              <w:rPr>
                <w:rFonts w:asciiTheme="minorHAnsi" w:hAnsiTheme="minorHAnsi" w:cstheme="minorHAnsi"/>
                <w:sz w:val="18"/>
                <w:szCs w:val="18"/>
              </w:rPr>
              <w:t>: Overall fiduciary and financial policies, accountability and oversight; Treasury Functions including banking information and arrangements and cash management; Travel services, asset management, and procurement policies and support; Management and oversight of the audit exercise for all GCF projects; Information Systems and Technology provision, maintenance and support; Legal advice and contracting/procurement support policy advice; Strategic Human Resources Management and related entitlement administration; Office of Audit and Investigations oversight/investigations into allegations of misconduct, corruption, wrongdoing and fraud; and social and environmental compliance unit and grievance mechanism.</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0B73A254" w14:textId="77777777" w:rsidR="00865986" w:rsidRPr="00AC0422" w:rsidRDefault="00865986" w:rsidP="002D620B">
            <w:pPr>
              <w:jc w:val="center"/>
              <w:rPr>
                <w:rFonts w:asciiTheme="minorHAnsi" w:hAnsiTheme="minorHAnsi" w:cstheme="minorHAnsi"/>
                <w:color w:val="000000"/>
                <w:sz w:val="18"/>
                <w:szCs w:val="18"/>
              </w:rPr>
            </w:pPr>
            <w:r w:rsidRPr="00AC0422">
              <w:rPr>
                <w:rFonts w:asciiTheme="minorHAnsi" w:hAnsiTheme="minorHAnsi" w:cstheme="minorHAnsi"/>
                <w:color w:val="000000"/>
                <w:sz w:val="18"/>
                <w:szCs w:val="18"/>
              </w:rPr>
              <w:lastRenderedPageBreak/>
              <w:t>70%</w:t>
            </w:r>
          </w:p>
        </w:tc>
      </w:tr>
      <w:tr w:rsidR="00865986" w:rsidRPr="00AC0422" w14:paraId="4AEFA6CE" w14:textId="77777777" w:rsidTr="002D620B">
        <w:trPr>
          <w:trHeight w:val="2482"/>
        </w:trPr>
        <w:tc>
          <w:tcPr>
            <w:tcW w:w="1703" w:type="dxa"/>
            <w:tcBorders>
              <w:top w:val="nil"/>
              <w:left w:val="single" w:sz="8" w:space="0" w:color="auto"/>
              <w:bottom w:val="single" w:sz="8" w:space="0" w:color="auto"/>
              <w:right w:val="single" w:sz="8" w:space="0" w:color="auto"/>
            </w:tcBorders>
            <w:vAlign w:val="center"/>
          </w:tcPr>
          <w:p w14:paraId="6DA85AEE" w14:textId="77777777" w:rsidR="00865986" w:rsidRPr="00AC0422" w:rsidRDefault="00865986" w:rsidP="002D620B">
            <w:pPr>
              <w:jc w:val="center"/>
              <w:rPr>
                <w:rFonts w:asciiTheme="minorHAnsi" w:hAnsiTheme="minorHAnsi" w:cstheme="minorHAnsi"/>
                <w:b/>
                <w:bCs/>
                <w:color w:val="000000"/>
                <w:sz w:val="18"/>
                <w:szCs w:val="18"/>
              </w:rPr>
            </w:pPr>
            <w:r w:rsidRPr="00AC0422">
              <w:rPr>
                <w:rFonts w:asciiTheme="minorHAnsi" w:hAnsiTheme="minorHAnsi" w:cstheme="minorHAnsi"/>
                <w:b/>
                <w:bCs/>
                <w:color w:val="000000"/>
                <w:sz w:val="18"/>
                <w:szCs w:val="18"/>
              </w:rPr>
              <w:t>Oversight of project completion</w:t>
            </w:r>
          </w:p>
        </w:tc>
        <w:tc>
          <w:tcPr>
            <w:tcW w:w="64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EB54908" w14:textId="592A6115"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 xml:space="preserve">Initiate, coordinate, finalize the Project Completion Report, Final Independent Evaluation Report and management response </w:t>
            </w:r>
          </w:p>
          <w:p w14:paraId="3BBF9963"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Quality assurance of final evaluation report and management response</w:t>
            </w:r>
          </w:p>
          <w:p w14:paraId="406C50F1"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Independent Evaluation Office assessment of final evaluation reports; evaluation guidance and standard setting</w:t>
            </w:r>
          </w:p>
          <w:p w14:paraId="166A0F8F"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b/>
                <w:bCs/>
                <w:color w:val="000000"/>
                <w:sz w:val="18"/>
                <w:szCs w:val="18"/>
              </w:rPr>
            </w:pPr>
            <w:r w:rsidRPr="00AC0422">
              <w:rPr>
                <w:rFonts w:asciiTheme="minorHAnsi" w:hAnsiTheme="minorHAnsi" w:cstheme="minorHAnsi"/>
                <w:sz w:val="18"/>
                <w:szCs w:val="18"/>
              </w:rPr>
              <w:t>Quality assurance of final cumulative budget implementation and reporting to the GCF</w:t>
            </w:r>
          </w:p>
          <w:p w14:paraId="7DE3AAE6"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b/>
                <w:bCs/>
                <w:color w:val="000000"/>
                <w:sz w:val="18"/>
                <w:szCs w:val="18"/>
              </w:rPr>
            </w:pPr>
            <w:r w:rsidRPr="00AC0422">
              <w:rPr>
                <w:rFonts w:asciiTheme="minorHAnsi" w:hAnsiTheme="minorHAnsi" w:cstheme="minorHAnsi"/>
                <w:sz w:val="18"/>
                <w:szCs w:val="18"/>
              </w:rPr>
              <w:t>Return of any un-spent GCF resources to the GCF</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22204479" w14:textId="77777777" w:rsidR="00865986" w:rsidRPr="00AC0422" w:rsidRDefault="00865986" w:rsidP="002D620B">
            <w:pPr>
              <w:jc w:val="center"/>
              <w:rPr>
                <w:rFonts w:asciiTheme="minorHAnsi" w:hAnsiTheme="minorHAnsi" w:cstheme="minorHAnsi"/>
                <w:color w:val="000000"/>
                <w:sz w:val="18"/>
                <w:szCs w:val="18"/>
              </w:rPr>
            </w:pPr>
            <w:r w:rsidRPr="00AC0422">
              <w:rPr>
                <w:rFonts w:asciiTheme="minorHAnsi" w:hAnsiTheme="minorHAnsi" w:cstheme="minorHAnsi"/>
                <w:color w:val="000000"/>
                <w:sz w:val="18"/>
                <w:szCs w:val="18"/>
              </w:rPr>
              <w:t>10%</w:t>
            </w:r>
          </w:p>
        </w:tc>
      </w:tr>
      <w:tr w:rsidR="00865986" w:rsidRPr="00AC0422" w14:paraId="47C6E842" w14:textId="77777777" w:rsidTr="002D620B">
        <w:trPr>
          <w:trHeight w:val="2239"/>
        </w:trPr>
        <w:tc>
          <w:tcPr>
            <w:tcW w:w="1703" w:type="dxa"/>
            <w:tcBorders>
              <w:top w:val="nil"/>
              <w:left w:val="single" w:sz="8" w:space="0" w:color="auto"/>
              <w:bottom w:val="single" w:sz="8" w:space="0" w:color="auto"/>
              <w:right w:val="single" w:sz="8" w:space="0" w:color="auto"/>
            </w:tcBorders>
            <w:vAlign w:val="center"/>
          </w:tcPr>
          <w:p w14:paraId="66DF064C" w14:textId="77777777" w:rsidR="00865986" w:rsidRPr="00AC0422" w:rsidRDefault="00865986" w:rsidP="002D620B">
            <w:pPr>
              <w:jc w:val="center"/>
              <w:rPr>
                <w:rFonts w:asciiTheme="minorHAnsi" w:hAnsiTheme="minorHAnsi" w:cstheme="minorHAnsi"/>
                <w:b/>
                <w:bCs/>
                <w:color w:val="000000"/>
                <w:sz w:val="18"/>
                <w:szCs w:val="18"/>
              </w:rPr>
            </w:pPr>
            <w:r w:rsidRPr="00AC0422">
              <w:rPr>
                <w:rFonts w:asciiTheme="minorHAnsi" w:hAnsiTheme="minorHAnsi" w:cstheme="minorHAnsi"/>
                <w:b/>
                <w:bCs/>
                <w:color w:val="000000"/>
                <w:sz w:val="18"/>
                <w:szCs w:val="18"/>
              </w:rPr>
              <w:lastRenderedPageBreak/>
              <w:t>Oversight of project reporting</w:t>
            </w:r>
          </w:p>
        </w:tc>
        <w:tc>
          <w:tcPr>
            <w:tcW w:w="64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018D2B"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Technical review of project reports: quality assurance and technical inputs in relevant project reports</w:t>
            </w:r>
          </w:p>
          <w:p w14:paraId="77917240" w14:textId="3F5F0920"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 xml:space="preserve">Quality assurance of the GCF annual project </w:t>
            </w:r>
            <w:r w:rsidR="00F644C3" w:rsidRPr="00AC0422">
              <w:rPr>
                <w:rFonts w:asciiTheme="minorHAnsi" w:hAnsiTheme="minorHAnsi" w:cstheme="minorHAnsi"/>
                <w:sz w:val="18"/>
                <w:szCs w:val="18"/>
              </w:rPr>
              <w:t xml:space="preserve">interim progress </w:t>
            </w:r>
            <w:r w:rsidRPr="00AC0422">
              <w:rPr>
                <w:rFonts w:asciiTheme="minorHAnsi" w:hAnsiTheme="minorHAnsi" w:cstheme="minorHAnsi"/>
                <w:sz w:val="18"/>
                <w:szCs w:val="18"/>
              </w:rPr>
              <w:t>report</w:t>
            </w:r>
            <w:r w:rsidR="00F644C3" w:rsidRPr="00AC0422">
              <w:rPr>
                <w:rFonts w:asciiTheme="minorHAnsi" w:hAnsiTheme="minorHAnsi" w:cstheme="minorHAnsi"/>
                <w:sz w:val="18"/>
                <w:szCs w:val="18"/>
              </w:rPr>
              <w:t>s and portfolio reports</w:t>
            </w:r>
          </w:p>
          <w:p w14:paraId="21D8F3F8"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sz w:val="18"/>
                <w:szCs w:val="18"/>
              </w:rPr>
            </w:pPr>
            <w:r w:rsidRPr="00AC0422">
              <w:rPr>
                <w:rFonts w:asciiTheme="minorHAnsi" w:hAnsiTheme="minorHAnsi" w:cstheme="minorHAnsi"/>
                <w:sz w:val="18"/>
                <w:szCs w:val="18"/>
              </w:rPr>
              <w:t>Preparation and certification of UNDP annual financial statements and donor reports</w:t>
            </w:r>
          </w:p>
          <w:p w14:paraId="1B14282B" w14:textId="77777777" w:rsidR="00865986" w:rsidRPr="00AC0422" w:rsidRDefault="00865986" w:rsidP="005D2C02">
            <w:pPr>
              <w:pStyle w:val="ListParagraph"/>
              <w:numPr>
                <w:ilvl w:val="0"/>
                <w:numId w:val="20"/>
              </w:numPr>
              <w:ind w:left="360"/>
              <w:contextualSpacing/>
              <w:jc w:val="both"/>
              <w:rPr>
                <w:rFonts w:asciiTheme="minorHAnsi" w:hAnsiTheme="minorHAnsi" w:cstheme="minorHAnsi"/>
                <w:b/>
                <w:bCs/>
                <w:color w:val="000000"/>
                <w:sz w:val="18"/>
                <w:szCs w:val="18"/>
              </w:rPr>
            </w:pPr>
            <w:r w:rsidRPr="00AC0422">
              <w:rPr>
                <w:rFonts w:asciiTheme="minorHAnsi" w:hAnsiTheme="minorHAnsi" w:cstheme="minorHAnsi"/>
                <w:sz w:val="18"/>
                <w:szCs w:val="18"/>
              </w:rPr>
              <w:t>Prepare and submit fund specific financial reports</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6F55C080" w14:textId="77777777" w:rsidR="00865986" w:rsidRPr="00AC0422" w:rsidRDefault="00865986" w:rsidP="002D620B">
            <w:pPr>
              <w:jc w:val="center"/>
              <w:rPr>
                <w:rFonts w:asciiTheme="minorHAnsi" w:hAnsiTheme="minorHAnsi" w:cstheme="minorHAnsi"/>
                <w:color w:val="000000"/>
                <w:sz w:val="18"/>
                <w:szCs w:val="18"/>
              </w:rPr>
            </w:pPr>
            <w:r w:rsidRPr="00AC0422">
              <w:rPr>
                <w:rFonts w:asciiTheme="minorHAnsi" w:hAnsiTheme="minorHAnsi" w:cstheme="minorHAnsi"/>
                <w:color w:val="000000"/>
                <w:sz w:val="18"/>
                <w:szCs w:val="18"/>
              </w:rPr>
              <w:t>20%</w:t>
            </w:r>
          </w:p>
        </w:tc>
      </w:tr>
      <w:tr w:rsidR="00865986" w:rsidRPr="00AC0422" w14:paraId="1D8B921F" w14:textId="77777777" w:rsidTr="002D620B">
        <w:trPr>
          <w:trHeight w:val="315"/>
        </w:trPr>
        <w:tc>
          <w:tcPr>
            <w:tcW w:w="1703" w:type="dxa"/>
            <w:tcBorders>
              <w:top w:val="nil"/>
              <w:left w:val="single" w:sz="8" w:space="0" w:color="auto"/>
              <w:bottom w:val="single" w:sz="8" w:space="0" w:color="auto"/>
              <w:right w:val="single" w:sz="8" w:space="0" w:color="auto"/>
            </w:tcBorders>
          </w:tcPr>
          <w:p w14:paraId="34C90C43" w14:textId="77777777" w:rsidR="00865986" w:rsidRPr="00AC0422" w:rsidRDefault="00865986" w:rsidP="002D620B">
            <w:pPr>
              <w:jc w:val="right"/>
              <w:rPr>
                <w:rFonts w:asciiTheme="minorHAnsi" w:hAnsiTheme="minorHAnsi" w:cstheme="minorHAnsi"/>
                <w:color w:val="000000"/>
                <w:sz w:val="18"/>
                <w:szCs w:val="18"/>
              </w:rPr>
            </w:pPr>
          </w:p>
        </w:tc>
        <w:tc>
          <w:tcPr>
            <w:tcW w:w="648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FE8297A" w14:textId="77777777" w:rsidR="00865986" w:rsidRPr="00AC0422" w:rsidRDefault="00865986" w:rsidP="002D620B">
            <w:pPr>
              <w:jc w:val="right"/>
              <w:rPr>
                <w:rFonts w:asciiTheme="minorHAnsi" w:hAnsiTheme="minorHAnsi" w:cstheme="minorHAnsi"/>
                <w:b/>
                <w:color w:val="000000"/>
                <w:sz w:val="18"/>
                <w:szCs w:val="18"/>
              </w:rPr>
            </w:pPr>
            <w:r w:rsidRPr="00AC0422">
              <w:rPr>
                <w:rFonts w:asciiTheme="minorHAnsi" w:hAnsiTheme="minorHAnsi" w:cstheme="minorHAnsi"/>
                <w:b/>
                <w:color w:val="000000"/>
                <w:sz w:val="18"/>
                <w:szCs w:val="18"/>
              </w:rPr>
              <w:t>TOTAL</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8BFD92" w14:textId="77777777" w:rsidR="00865986" w:rsidRPr="00AC0422" w:rsidRDefault="00865986" w:rsidP="002D620B">
            <w:pPr>
              <w:jc w:val="center"/>
              <w:rPr>
                <w:rFonts w:asciiTheme="minorHAnsi" w:hAnsiTheme="minorHAnsi" w:cstheme="minorHAnsi"/>
                <w:b/>
                <w:color w:val="000000"/>
                <w:sz w:val="18"/>
                <w:szCs w:val="18"/>
              </w:rPr>
            </w:pPr>
            <w:r w:rsidRPr="00AC0422">
              <w:rPr>
                <w:rFonts w:asciiTheme="minorHAnsi" w:hAnsiTheme="minorHAnsi" w:cstheme="minorHAnsi"/>
                <w:b/>
                <w:color w:val="000000"/>
                <w:sz w:val="18"/>
                <w:szCs w:val="18"/>
              </w:rPr>
              <w:t>100%</w:t>
            </w:r>
          </w:p>
        </w:tc>
      </w:tr>
    </w:tbl>
    <w:p w14:paraId="0E717F10" w14:textId="77777777" w:rsidR="00865986" w:rsidRPr="00AC0422" w:rsidRDefault="00865986" w:rsidP="00865986">
      <w:pPr>
        <w:rPr>
          <w:rFonts w:asciiTheme="minorHAnsi" w:hAnsiTheme="minorHAnsi" w:cstheme="minorHAnsi"/>
          <w:sz w:val="22"/>
          <w:szCs w:val="22"/>
        </w:rPr>
      </w:pPr>
    </w:p>
    <w:p w14:paraId="7F8DD601" w14:textId="77777777" w:rsidR="000A35E6" w:rsidRPr="00AC0422" w:rsidRDefault="000A35E6" w:rsidP="000A35E6">
      <w:pPr>
        <w:spacing w:before="120" w:after="120"/>
        <w:rPr>
          <w:rFonts w:asciiTheme="minorHAnsi" w:hAnsiTheme="minorHAnsi" w:cstheme="minorHAnsi"/>
          <w:szCs w:val="20"/>
        </w:rPr>
      </w:pPr>
      <w:r w:rsidRPr="00AC0422">
        <w:rPr>
          <w:rFonts w:asciiTheme="minorHAnsi" w:hAnsiTheme="minorHAnsi" w:cstheme="minorHAnsi"/>
          <w:b/>
          <w:bCs/>
          <w:szCs w:val="20"/>
        </w:rPr>
        <w:t>Changes to the Approved R&amp;P Support Proposal:</w:t>
      </w:r>
      <w:r w:rsidRPr="00AC0422">
        <w:rPr>
          <w:rFonts w:asciiTheme="minorHAnsi" w:hAnsiTheme="minorHAnsi" w:cstheme="minorHAnsi"/>
          <w:szCs w:val="20"/>
        </w:rPr>
        <w:t xml:space="preserve"> Any modification or proposed changes to the approved readiness proposal which could reasonably constitute a major change shall require prior approval of the GCF. Prior to a final Project Board decision to approve and effect such modifications or proposed changes, UNDP will inform the GCF in writing and seek the GCF’s instructions on the necessary steps to effect such changes. Upon GCF approval, these changes would be signed by the Delivery Partner, the GCF and the NDA.</w:t>
      </w:r>
    </w:p>
    <w:p w14:paraId="6964265F" w14:textId="2F398FB5" w:rsidR="000A35E6" w:rsidRPr="00AC0422" w:rsidRDefault="000A35E6" w:rsidP="000A35E6">
      <w:pPr>
        <w:spacing w:before="120" w:after="120"/>
        <w:rPr>
          <w:rFonts w:asciiTheme="minorHAnsi" w:hAnsiTheme="minorHAnsi" w:cstheme="minorHAnsi"/>
          <w:b/>
          <w:bCs/>
          <w:szCs w:val="20"/>
        </w:rPr>
      </w:pPr>
      <w:r w:rsidRPr="00AC0422">
        <w:rPr>
          <w:rFonts w:asciiTheme="minorHAnsi" w:hAnsiTheme="minorHAnsi" w:cstheme="minorHAnsi"/>
          <w:b/>
          <w:bCs/>
          <w:szCs w:val="20"/>
        </w:rPr>
        <w:t xml:space="preserve">Project Extension: </w:t>
      </w:r>
      <w:r w:rsidRPr="00AC0422">
        <w:rPr>
          <w:rFonts w:asciiTheme="minorHAnsi" w:hAnsiTheme="minorHAnsi" w:cstheme="minorHAnsi"/>
          <w:szCs w:val="20"/>
        </w:rPr>
        <w:t>The UNDP-VF Executive Coordinator must approve all project extension requests. Note that all extensions incur costs and the GCF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need to be covered by non-GCF resources; the UNDP Country Office oversight costs during the extension period must be covered by non-GCF resources.</w:t>
      </w:r>
    </w:p>
    <w:p w14:paraId="038BDADF" w14:textId="4E4AE098" w:rsidR="000A35E6" w:rsidRPr="00AC0422" w:rsidRDefault="000A35E6" w:rsidP="000A35E6">
      <w:pPr>
        <w:spacing w:before="120" w:after="120"/>
        <w:rPr>
          <w:rFonts w:asciiTheme="minorHAnsi" w:hAnsiTheme="minorHAnsi" w:cstheme="minorHAnsi"/>
          <w:b/>
          <w:bCs/>
          <w:szCs w:val="20"/>
        </w:rPr>
      </w:pPr>
      <w:r w:rsidRPr="00AC0422">
        <w:rPr>
          <w:rFonts w:asciiTheme="minorHAnsi" w:hAnsiTheme="minorHAnsi" w:cstheme="minorHAnsi"/>
          <w:b/>
          <w:bCs/>
          <w:szCs w:val="20"/>
        </w:rPr>
        <w:t xml:space="preserve">Agreement on Intellectual Property Rights and use of logo on the project’s deliverables and disclosure of information: </w:t>
      </w:r>
      <w:r w:rsidRPr="00AC0422">
        <w:rPr>
          <w:rFonts w:asciiTheme="minorHAnsi" w:hAnsiTheme="minorHAnsi" w:cstheme="minorHAnsi"/>
          <w:szCs w:val="20"/>
        </w:rPr>
        <w:t>To accord proper acknowledgement to the GCF for providing grant funding, the GCF logo will appear together with the UNDP logo on all promotional materials, other written materials like publications developed by the project, and project hardware. Any citation on publications regarding projects funded by the GCF will also accord proper acknowledgement to the GCF. Information will be disclosed in accordance with relevant policies notably the UNDP Disclosure Policy and the relevant GCF policy. See also GCF Branding Guidelines.</w:t>
      </w:r>
    </w:p>
    <w:p w14:paraId="27584733" w14:textId="77777777" w:rsidR="000A35E6" w:rsidRPr="00AC0422" w:rsidRDefault="000A35E6" w:rsidP="000A35E6">
      <w:pPr>
        <w:spacing w:before="120" w:after="120"/>
        <w:rPr>
          <w:rFonts w:asciiTheme="minorHAnsi" w:hAnsiTheme="minorHAnsi" w:cstheme="minorHAnsi"/>
          <w:szCs w:val="20"/>
        </w:rPr>
      </w:pPr>
      <w:r w:rsidRPr="00AC0422">
        <w:rPr>
          <w:rFonts w:asciiTheme="minorHAnsi" w:hAnsiTheme="minorHAnsi" w:cstheme="minorHAnsi"/>
          <w:b/>
          <w:bCs/>
          <w:szCs w:val="20"/>
        </w:rPr>
        <w:t>Disclosure of information:</w:t>
      </w:r>
      <w:r w:rsidRPr="00AC0422">
        <w:rPr>
          <w:rFonts w:asciiTheme="minorHAnsi" w:hAnsiTheme="minorHAnsi" w:cstheme="minorHAnsi"/>
          <w:szCs w:val="20"/>
        </w:rPr>
        <w:t xml:space="preserve"> Information will be disclosed in accordance with relevant policies notably the UNDP Disclosure Policy and the GCF Disclosure Policy.</w:t>
      </w:r>
    </w:p>
    <w:p w14:paraId="78DADE44" w14:textId="77777777" w:rsidR="000A35E6" w:rsidRPr="00AC0422" w:rsidRDefault="000A35E6" w:rsidP="00865986">
      <w:pPr>
        <w:rPr>
          <w:rFonts w:asciiTheme="minorHAnsi" w:hAnsiTheme="minorHAnsi" w:cstheme="minorHAnsi"/>
          <w:sz w:val="22"/>
          <w:szCs w:val="22"/>
        </w:rPr>
      </w:pPr>
    </w:p>
    <w:p w14:paraId="4223620F" w14:textId="77777777" w:rsidR="000A35E6" w:rsidRPr="00AC0422" w:rsidRDefault="000A35E6" w:rsidP="00865986">
      <w:pPr>
        <w:spacing w:after="0"/>
        <w:jc w:val="left"/>
        <w:rPr>
          <w:rFonts w:asciiTheme="minorHAnsi" w:hAnsiTheme="minorHAnsi" w:cstheme="minorHAnsi"/>
          <w:iCs/>
          <w:szCs w:val="20"/>
        </w:rPr>
      </w:pPr>
    </w:p>
    <w:p w14:paraId="0CC12015" w14:textId="77777777" w:rsidR="00865986" w:rsidRPr="00AC0422" w:rsidRDefault="00865986" w:rsidP="00B838E1">
      <w:pPr>
        <w:rPr>
          <w:rFonts w:asciiTheme="minorHAnsi" w:hAnsiTheme="minorHAnsi" w:cstheme="minorHAnsi"/>
        </w:rPr>
      </w:pPr>
    </w:p>
    <w:p w14:paraId="1CFD9146" w14:textId="77777777" w:rsidR="00B838E1" w:rsidRPr="00AC0422" w:rsidRDefault="00B838E1" w:rsidP="00B838E1">
      <w:pPr>
        <w:rPr>
          <w:rFonts w:asciiTheme="minorHAnsi" w:hAnsiTheme="minorHAnsi" w:cstheme="minorHAnsi"/>
          <w:sz w:val="22"/>
          <w:szCs w:val="22"/>
        </w:rPr>
      </w:pPr>
    </w:p>
    <w:p w14:paraId="5B9F92DA" w14:textId="77777777" w:rsidR="00B838E1" w:rsidRPr="00AC0422" w:rsidRDefault="00B838E1" w:rsidP="00DF5972">
      <w:pPr>
        <w:spacing w:after="0"/>
        <w:rPr>
          <w:rFonts w:asciiTheme="minorHAnsi" w:hAnsiTheme="minorHAnsi" w:cstheme="minorHAnsi"/>
        </w:rPr>
      </w:pPr>
    </w:p>
    <w:p w14:paraId="4EFFAFED" w14:textId="2FFAD14B" w:rsidR="00865986" w:rsidRPr="00AC0422" w:rsidRDefault="00865986">
      <w:pPr>
        <w:spacing w:after="0"/>
        <w:jc w:val="left"/>
        <w:rPr>
          <w:rFonts w:asciiTheme="minorHAnsi" w:hAnsiTheme="minorHAnsi" w:cstheme="minorHAnsi"/>
          <w:b/>
          <w:szCs w:val="20"/>
        </w:rPr>
      </w:pPr>
      <w:r w:rsidRPr="00AC0422">
        <w:rPr>
          <w:rFonts w:asciiTheme="minorHAnsi" w:hAnsiTheme="minorHAnsi" w:cstheme="minorHAnsi"/>
          <w:b/>
          <w:szCs w:val="20"/>
        </w:rPr>
        <w:br w:type="page"/>
      </w:r>
    </w:p>
    <w:p w14:paraId="443BF6BF" w14:textId="77777777" w:rsidR="00501ACB" w:rsidRPr="00AC0422" w:rsidRDefault="00501ACB" w:rsidP="001354E3">
      <w:pPr>
        <w:spacing w:after="0"/>
        <w:jc w:val="left"/>
        <w:rPr>
          <w:rFonts w:asciiTheme="minorHAnsi" w:hAnsiTheme="minorHAnsi" w:cstheme="minorHAnsi"/>
          <w:b/>
          <w:szCs w:val="20"/>
        </w:rPr>
      </w:pPr>
    </w:p>
    <w:p w14:paraId="7E7D9184" w14:textId="77777777" w:rsidR="00C80C96" w:rsidRPr="00AC0422" w:rsidRDefault="00C80C96" w:rsidP="001354E3">
      <w:pPr>
        <w:spacing w:after="0"/>
        <w:jc w:val="left"/>
        <w:rPr>
          <w:rFonts w:asciiTheme="minorHAnsi" w:eastAsia="Times New Roman" w:hAnsiTheme="minorHAnsi" w:cstheme="minorHAnsi"/>
          <w:color w:val="000000"/>
          <w:szCs w:val="20"/>
        </w:rPr>
      </w:pPr>
    </w:p>
    <w:p w14:paraId="5089DBE7" w14:textId="77777777" w:rsidR="003E3ABA" w:rsidRPr="00AC0422" w:rsidRDefault="003E3ABA" w:rsidP="00A04E6F">
      <w:pPr>
        <w:pStyle w:val="Heading1"/>
        <w:spacing w:before="0" w:after="0"/>
        <w:rPr>
          <w:rFonts w:asciiTheme="minorHAnsi" w:hAnsiTheme="minorHAnsi" w:cstheme="minorHAnsi"/>
        </w:rPr>
      </w:pPr>
      <w:bookmarkStart w:id="36" w:name="_Toc40273941"/>
      <w:r w:rsidRPr="00AC0422">
        <w:rPr>
          <w:rFonts w:asciiTheme="minorHAnsi" w:hAnsiTheme="minorHAnsi" w:cstheme="minorHAnsi"/>
        </w:rPr>
        <w:t>Financial Planning and Management</w:t>
      </w:r>
      <w:bookmarkEnd w:id="36"/>
      <w:r w:rsidRPr="00AC0422">
        <w:rPr>
          <w:rFonts w:asciiTheme="minorHAnsi" w:hAnsiTheme="minorHAnsi" w:cstheme="minorHAnsi"/>
        </w:rPr>
        <w:t xml:space="preserve"> </w:t>
      </w:r>
    </w:p>
    <w:p w14:paraId="53C61E49" w14:textId="77777777" w:rsidR="006674A2" w:rsidRPr="00AC0422" w:rsidRDefault="006674A2" w:rsidP="00A04E6F">
      <w:pPr>
        <w:autoSpaceDE w:val="0"/>
        <w:autoSpaceDN w:val="0"/>
        <w:adjustRightInd w:val="0"/>
        <w:spacing w:after="0"/>
        <w:jc w:val="left"/>
        <w:rPr>
          <w:rFonts w:asciiTheme="minorHAnsi" w:hAnsiTheme="minorHAnsi" w:cstheme="minorHAnsi"/>
          <w:b/>
          <w:i/>
          <w:color w:val="000000"/>
          <w:szCs w:val="20"/>
        </w:rPr>
      </w:pPr>
    </w:p>
    <w:p w14:paraId="19802E0A" w14:textId="2E2D755B" w:rsidR="000A35E6" w:rsidRPr="00AC0422" w:rsidRDefault="000A35E6" w:rsidP="000A35E6">
      <w:pPr>
        <w:spacing w:after="120"/>
        <w:rPr>
          <w:rFonts w:asciiTheme="minorHAnsi" w:hAnsiTheme="minorHAnsi" w:cstheme="minorHAnsi"/>
          <w:iCs/>
          <w:color w:val="000000"/>
        </w:rPr>
      </w:pPr>
      <w:r w:rsidRPr="00AC0422">
        <w:rPr>
          <w:rFonts w:asciiTheme="minorHAnsi" w:hAnsiTheme="minorHAnsi" w:cstheme="minorHAnsi"/>
          <w:iCs/>
          <w:color w:val="000000" w:themeColor="text1"/>
        </w:rPr>
        <w:t xml:space="preserve">The total cost of the project is USD </w:t>
      </w:r>
      <w:r w:rsidR="00BE49D5" w:rsidRPr="00AC0422">
        <w:rPr>
          <w:rFonts w:asciiTheme="minorHAnsi" w:hAnsiTheme="minorHAnsi" w:cstheme="minorHAnsi"/>
          <w:iCs/>
          <w:color w:val="000000" w:themeColor="text1"/>
        </w:rPr>
        <w:t>2,672,800.00</w:t>
      </w:r>
      <w:r w:rsidRPr="00AC0422">
        <w:rPr>
          <w:rFonts w:asciiTheme="minorHAnsi" w:hAnsiTheme="minorHAnsi" w:cstheme="minorHAnsi"/>
          <w:iCs/>
          <w:color w:val="000000" w:themeColor="text1"/>
        </w:rPr>
        <w:t xml:space="preserve">. This is financed through a GCF grant. UNDP, as the GCF Delivery Partner, is responsible for the oversight and quality assurance of the execution of GCF resources.   </w:t>
      </w:r>
    </w:p>
    <w:p w14:paraId="6572E955" w14:textId="14F7011B" w:rsidR="000A35E6" w:rsidRPr="00AC0422" w:rsidRDefault="000A35E6" w:rsidP="000A35E6">
      <w:pPr>
        <w:spacing w:after="120"/>
        <w:rPr>
          <w:rFonts w:asciiTheme="minorHAnsi" w:hAnsiTheme="minorHAnsi" w:cstheme="minorHAnsi"/>
          <w:color w:val="000000"/>
          <w:szCs w:val="20"/>
        </w:rPr>
      </w:pPr>
      <w:r w:rsidRPr="00AC0422">
        <w:rPr>
          <w:rFonts w:asciiTheme="minorHAnsi" w:hAnsiTheme="minorHAnsi" w:cstheme="minorHAnsi"/>
          <w:color w:val="000000"/>
          <w:szCs w:val="20"/>
          <w:u w:val="single"/>
        </w:rPr>
        <w:t>GCF Disbursement schedule</w:t>
      </w:r>
      <w:r w:rsidRPr="00AC0422">
        <w:rPr>
          <w:rFonts w:asciiTheme="minorHAnsi" w:hAnsiTheme="minorHAnsi" w:cstheme="minorHAnsi"/>
          <w:color w:val="000000"/>
          <w:szCs w:val="20"/>
        </w:rPr>
        <w:t xml:space="preserve">: GCF grant funds will be disbursed in accordance with the terms and conditions set out in the Second Amended and Restated Framework Readiness and Preparatory Support Grant Agreement. The Country Office will submit an annual work plan to the </w:t>
      </w:r>
      <w:r w:rsidR="00DA2CCA" w:rsidRPr="00AC0422">
        <w:rPr>
          <w:rFonts w:asciiTheme="minorHAnsi" w:hAnsiTheme="minorHAnsi" w:cstheme="minorHAnsi"/>
          <w:color w:val="000000"/>
          <w:szCs w:val="20"/>
        </w:rPr>
        <w:t>UNDP-</w:t>
      </w:r>
      <w:r w:rsidR="00DA2CCA" w:rsidRPr="00DA2CCA">
        <w:rPr>
          <w:rFonts w:asciiTheme="minorHAnsi" w:eastAsia="Arial" w:hAnsiTheme="minorHAnsi" w:cstheme="minorHAnsi"/>
          <w:szCs w:val="20"/>
        </w:rPr>
        <w:t xml:space="preserve"> </w:t>
      </w:r>
      <w:r w:rsidR="00DA2CCA">
        <w:rPr>
          <w:rFonts w:asciiTheme="minorHAnsi" w:eastAsia="Arial" w:hAnsiTheme="minorHAnsi" w:cstheme="minorHAnsi"/>
          <w:szCs w:val="20"/>
        </w:rPr>
        <w:t>Climate Hub</w:t>
      </w:r>
      <w:r w:rsidR="00DA2CCA" w:rsidRPr="00AC0422">
        <w:rPr>
          <w:rFonts w:asciiTheme="minorHAnsi" w:hAnsiTheme="minorHAnsi" w:cstheme="minorHAnsi"/>
          <w:color w:val="000000"/>
          <w:szCs w:val="20"/>
        </w:rPr>
        <w:t xml:space="preserve"> </w:t>
      </w:r>
      <w:r w:rsidRPr="00AC0422">
        <w:rPr>
          <w:rFonts w:asciiTheme="minorHAnsi" w:hAnsiTheme="minorHAnsi" w:cstheme="minorHAnsi"/>
          <w:color w:val="000000"/>
          <w:szCs w:val="20"/>
        </w:rPr>
        <w:t xml:space="preserve">Unit and comply with the GCF milestones in order for the next tranche of project funds to be released. All efforts must be made to achieve 80% delivery annually.  </w:t>
      </w:r>
    </w:p>
    <w:p w14:paraId="046E4876" w14:textId="2DA6EB09" w:rsidR="000A35E6" w:rsidRPr="00AC0422" w:rsidRDefault="000A35E6" w:rsidP="000A35E6">
      <w:pPr>
        <w:spacing w:after="120"/>
        <w:rPr>
          <w:rFonts w:asciiTheme="minorHAnsi" w:hAnsiTheme="minorHAnsi" w:cstheme="minorHAnsi"/>
          <w:color w:val="000000"/>
          <w:szCs w:val="20"/>
        </w:rPr>
      </w:pPr>
      <w:r w:rsidRPr="00AC0422">
        <w:rPr>
          <w:rFonts w:asciiTheme="minorHAnsi" w:hAnsiTheme="minorHAnsi" w:cstheme="minorHAnsi"/>
          <w:color w:val="000000"/>
          <w:szCs w:val="20"/>
        </w:rPr>
        <w:t>Disbursement requests will be managed at portfolio level by UNDP-</w:t>
      </w:r>
      <w:r w:rsidR="00DA2CCA">
        <w:rPr>
          <w:rFonts w:asciiTheme="minorHAnsi" w:hAnsiTheme="minorHAnsi" w:cstheme="minorHAnsi"/>
          <w:color w:val="000000"/>
          <w:szCs w:val="20"/>
        </w:rPr>
        <w:t>VF Hub</w:t>
      </w:r>
      <w:r w:rsidRPr="00AC0422">
        <w:rPr>
          <w:rFonts w:asciiTheme="minorHAnsi" w:hAnsiTheme="minorHAnsi" w:cstheme="minorHAnsi"/>
          <w:color w:val="000000"/>
          <w:szCs w:val="20"/>
        </w:rPr>
        <w:t xml:space="preserve"> MPSU in NY, as agreed in the Second Amended and Restated Framework Readiness and Preparatory Support Grant Agreement” between GCF and UNDP. Under Clause 4 of said Second Amended and Restated Framework Readiness and Preparatory Support Grant Agreement, the Delivery Partner shall be required, when submitting Requests for Disbursement, to provide confirmation or evidence that at least 70% of the aggregate amounts previously disbursed by GCF have been committed and/or expended for Eligible Expenditures. </w:t>
      </w:r>
    </w:p>
    <w:p w14:paraId="15DE7D88" w14:textId="77777777" w:rsidR="000A35E6" w:rsidRPr="00AC0422" w:rsidRDefault="000A35E6" w:rsidP="000A35E6">
      <w:pPr>
        <w:spacing w:after="120"/>
        <w:rPr>
          <w:rFonts w:asciiTheme="minorHAnsi" w:hAnsiTheme="minorHAnsi" w:cstheme="minorHAnsi"/>
          <w:iCs/>
          <w:color w:val="000000"/>
        </w:rPr>
      </w:pPr>
    </w:p>
    <w:p w14:paraId="138299C2" w14:textId="77777777" w:rsidR="000A35E6" w:rsidRPr="00AC0422" w:rsidRDefault="000A35E6" w:rsidP="000A35E6">
      <w:pPr>
        <w:spacing w:after="120"/>
        <w:rPr>
          <w:rFonts w:asciiTheme="minorHAnsi" w:hAnsiTheme="minorHAnsi" w:cstheme="minorHAnsi"/>
          <w:color w:val="000000"/>
          <w:szCs w:val="20"/>
        </w:rPr>
      </w:pPr>
      <w:r w:rsidRPr="00AC0422">
        <w:rPr>
          <w:rFonts w:asciiTheme="minorHAnsi" w:hAnsiTheme="minorHAnsi" w:cstheme="minorHAnsi"/>
          <w:color w:val="000000"/>
          <w:szCs w:val="20"/>
        </w:rPr>
        <w:t xml:space="preserve">An Indicative Disbursement Schedule is provided below for reference. </w:t>
      </w:r>
    </w:p>
    <w:p w14:paraId="7480EA23" w14:textId="5D830B91" w:rsidR="00354607" w:rsidRPr="00AC0422" w:rsidRDefault="00354607" w:rsidP="00354607">
      <w:pPr>
        <w:spacing w:after="0"/>
        <w:jc w:val="left"/>
        <w:rPr>
          <w:rFonts w:asciiTheme="minorHAnsi" w:hAnsiTheme="minorHAnsi" w:cstheme="minorHAnsi"/>
          <w:i/>
          <w:color w:val="000000"/>
          <w:szCs w:val="20"/>
        </w:rPr>
      </w:pPr>
    </w:p>
    <w:tbl>
      <w:tblPr>
        <w:tblW w:w="9040" w:type="dxa"/>
        <w:jc w:val="center"/>
        <w:tblLook w:val="04A0" w:firstRow="1" w:lastRow="0" w:firstColumn="1" w:lastColumn="0" w:noHBand="0" w:noVBand="1"/>
      </w:tblPr>
      <w:tblGrid>
        <w:gridCol w:w="3109"/>
        <w:gridCol w:w="1419"/>
        <w:gridCol w:w="1558"/>
        <w:gridCol w:w="1275"/>
        <w:gridCol w:w="1679"/>
      </w:tblGrid>
      <w:tr w:rsidR="003F6F69" w:rsidRPr="00AC0422" w14:paraId="04F19299" w14:textId="728CC16D" w:rsidTr="003F6F69">
        <w:trPr>
          <w:trHeight w:val="315"/>
          <w:jc w:val="center"/>
        </w:trPr>
        <w:tc>
          <w:tcPr>
            <w:tcW w:w="3109" w:type="dxa"/>
            <w:tcBorders>
              <w:top w:val="single" w:sz="8" w:space="0" w:color="auto"/>
              <w:left w:val="single" w:sz="8" w:space="0" w:color="auto"/>
              <w:bottom w:val="single" w:sz="8" w:space="0" w:color="auto"/>
              <w:right w:val="single" w:sz="8" w:space="0" w:color="auto"/>
            </w:tcBorders>
            <w:shd w:val="clear" w:color="000000" w:fill="BCD85F"/>
            <w:vAlign w:val="center"/>
            <w:hideMark/>
          </w:tcPr>
          <w:p w14:paraId="353B57F5" w14:textId="7AEFA67F" w:rsidR="003F6F69" w:rsidRPr="00AC0422" w:rsidRDefault="003F6F69"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Month</w:t>
            </w:r>
          </w:p>
        </w:tc>
        <w:tc>
          <w:tcPr>
            <w:tcW w:w="1419" w:type="dxa"/>
            <w:tcBorders>
              <w:top w:val="single" w:sz="8" w:space="0" w:color="auto"/>
              <w:left w:val="nil"/>
              <w:bottom w:val="single" w:sz="8" w:space="0" w:color="auto"/>
              <w:right w:val="single" w:sz="8" w:space="0" w:color="auto"/>
            </w:tcBorders>
            <w:shd w:val="clear" w:color="000000" w:fill="BCD85F"/>
            <w:noWrap/>
            <w:vAlign w:val="center"/>
          </w:tcPr>
          <w:p w14:paraId="5AD400FA" w14:textId="37DBAB33" w:rsidR="003F6F69" w:rsidRPr="00AC0422" w:rsidRDefault="003F6F69"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12 months</w:t>
            </w:r>
          </w:p>
        </w:tc>
        <w:tc>
          <w:tcPr>
            <w:tcW w:w="1558" w:type="dxa"/>
            <w:tcBorders>
              <w:top w:val="single" w:sz="8" w:space="0" w:color="auto"/>
              <w:left w:val="nil"/>
              <w:bottom w:val="single" w:sz="8" w:space="0" w:color="auto"/>
              <w:right w:val="single" w:sz="8" w:space="0" w:color="auto"/>
            </w:tcBorders>
            <w:shd w:val="clear" w:color="000000" w:fill="BCD85F"/>
            <w:noWrap/>
            <w:vAlign w:val="center"/>
          </w:tcPr>
          <w:p w14:paraId="4C676B09" w14:textId="2B8FDFD2" w:rsidR="003F6F69" w:rsidRPr="00AC0422" w:rsidRDefault="003F6F69"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24 months</w:t>
            </w:r>
          </w:p>
        </w:tc>
        <w:tc>
          <w:tcPr>
            <w:tcW w:w="1275" w:type="dxa"/>
            <w:tcBorders>
              <w:top w:val="single" w:sz="8" w:space="0" w:color="auto"/>
              <w:left w:val="nil"/>
              <w:bottom w:val="single" w:sz="8" w:space="0" w:color="auto"/>
              <w:right w:val="single" w:sz="8" w:space="0" w:color="auto"/>
            </w:tcBorders>
            <w:shd w:val="clear" w:color="000000" w:fill="BCD85F"/>
            <w:noWrap/>
            <w:vAlign w:val="center"/>
          </w:tcPr>
          <w:p w14:paraId="36821508" w14:textId="4162DBF0" w:rsidR="003F6F69" w:rsidRPr="00AC0422" w:rsidRDefault="003F6F69"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36 months</w:t>
            </w:r>
          </w:p>
        </w:tc>
        <w:tc>
          <w:tcPr>
            <w:tcW w:w="1679" w:type="dxa"/>
            <w:tcBorders>
              <w:top w:val="single" w:sz="8" w:space="0" w:color="auto"/>
              <w:left w:val="nil"/>
              <w:bottom w:val="single" w:sz="8" w:space="0" w:color="auto"/>
              <w:right w:val="single" w:sz="8" w:space="0" w:color="auto"/>
            </w:tcBorders>
            <w:shd w:val="clear" w:color="000000" w:fill="BCD85F"/>
            <w:noWrap/>
            <w:vAlign w:val="center"/>
          </w:tcPr>
          <w:p w14:paraId="376DA8CD" w14:textId="5DF74054" w:rsidR="003F6F69" w:rsidRPr="00AC0422" w:rsidRDefault="003F6F69"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48 months</w:t>
            </w:r>
          </w:p>
        </w:tc>
      </w:tr>
      <w:tr w:rsidR="003F6F69" w:rsidRPr="00AC0422" w14:paraId="6CA59B4D" w14:textId="15E056E4" w:rsidTr="003F6F69">
        <w:trPr>
          <w:trHeight w:val="525"/>
          <w:jc w:val="center"/>
        </w:trPr>
        <w:tc>
          <w:tcPr>
            <w:tcW w:w="3109" w:type="dxa"/>
            <w:tcBorders>
              <w:top w:val="nil"/>
              <w:left w:val="single" w:sz="8" w:space="0" w:color="auto"/>
              <w:bottom w:val="single" w:sz="8" w:space="0" w:color="auto"/>
              <w:right w:val="single" w:sz="8" w:space="0" w:color="auto"/>
            </w:tcBorders>
            <w:shd w:val="clear" w:color="000000" w:fill="BCD85F"/>
            <w:vAlign w:val="center"/>
            <w:hideMark/>
          </w:tcPr>
          <w:p w14:paraId="4291AE0E" w14:textId="29D96F91" w:rsidR="003F6F69" w:rsidRPr="00AC0422" w:rsidRDefault="003F6F69"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Amount in USD</w:t>
            </w:r>
          </w:p>
        </w:tc>
        <w:tc>
          <w:tcPr>
            <w:tcW w:w="1419" w:type="dxa"/>
            <w:tcBorders>
              <w:top w:val="nil"/>
              <w:left w:val="nil"/>
              <w:bottom w:val="single" w:sz="8" w:space="0" w:color="auto"/>
              <w:right w:val="single" w:sz="8" w:space="0" w:color="auto"/>
            </w:tcBorders>
            <w:shd w:val="clear" w:color="000000" w:fill="BCD85F"/>
            <w:noWrap/>
            <w:vAlign w:val="center"/>
          </w:tcPr>
          <w:p w14:paraId="4BAF7A47" w14:textId="5166FCFF" w:rsidR="003F6F69" w:rsidRPr="00AC0422" w:rsidRDefault="000367EE"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807,882.50</w:t>
            </w:r>
          </w:p>
        </w:tc>
        <w:tc>
          <w:tcPr>
            <w:tcW w:w="1558" w:type="dxa"/>
            <w:tcBorders>
              <w:top w:val="nil"/>
              <w:left w:val="nil"/>
              <w:bottom w:val="single" w:sz="8" w:space="0" w:color="auto"/>
              <w:right w:val="single" w:sz="8" w:space="0" w:color="auto"/>
            </w:tcBorders>
            <w:shd w:val="clear" w:color="000000" w:fill="BCD85F"/>
            <w:noWrap/>
            <w:vAlign w:val="center"/>
          </w:tcPr>
          <w:p w14:paraId="6F95A5B3" w14:textId="3401CB63" w:rsidR="003F6F69" w:rsidRPr="00AC0422" w:rsidRDefault="000367EE"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973,262.50</w:t>
            </w:r>
          </w:p>
        </w:tc>
        <w:tc>
          <w:tcPr>
            <w:tcW w:w="1275" w:type="dxa"/>
            <w:tcBorders>
              <w:top w:val="nil"/>
              <w:left w:val="nil"/>
              <w:bottom w:val="single" w:sz="8" w:space="0" w:color="auto"/>
              <w:right w:val="single" w:sz="8" w:space="0" w:color="auto"/>
            </w:tcBorders>
            <w:shd w:val="clear" w:color="000000" w:fill="BCD85F"/>
            <w:noWrap/>
            <w:vAlign w:val="center"/>
          </w:tcPr>
          <w:p w14:paraId="5B02CA26" w14:textId="0DFA5955" w:rsidR="003F6F69" w:rsidRPr="00AC0422" w:rsidRDefault="000367EE"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613,242.50</w:t>
            </w:r>
          </w:p>
        </w:tc>
        <w:tc>
          <w:tcPr>
            <w:tcW w:w="1679" w:type="dxa"/>
            <w:tcBorders>
              <w:top w:val="nil"/>
              <w:left w:val="nil"/>
              <w:bottom w:val="single" w:sz="8" w:space="0" w:color="auto"/>
              <w:right w:val="single" w:sz="8" w:space="0" w:color="auto"/>
            </w:tcBorders>
            <w:shd w:val="clear" w:color="000000" w:fill="BCD85F"/>
            <w:noWrap/>
            <w:vAlign w:val="center"/>
          </w:tcPr>
          <w:p w14:paraId="1511F30B" w14:textId="5C192D7D" w:rsidR="003F6F69" w:rsidRPr="00AC0422" w:rsidRDefault="000367EE"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278,412.50</w:t>
            </w:r>
          </w:p>
        </w:tc>
      </w:tr>
      <w:tr w:rsidR="00354607" w:rsidRPr="00AC0422" w14:paraId="66F427D7" w14:textId="66E35B30" w:rsidTr="003F6F69">
        <w:trPr>
          <w:trHeight w:val="315"/>
          <w:jc w:val="center"/>
        </w:trPr>
        <w:tc>
          <w:tcPr>
            <w:tcW w:w="3109" w:type="dxa"/>
            <w:tcBorders>
              <w:top w:val="nil"/>
              <w:left w:val="single" w:sz="8" w:space="0" w:color="auto"/>
              <w:bottom w:val="single" w:sz="8" w:space="0" w:color="auto"/>
              <w:right w:val="single" w:sz="8" w:space="0" w:color="auto"/>
            </w:tcBorders>
            <w:shd w:val="clear" w:color="000000" w:fill="BCD85F"/>
            <w:vAlign w:val="center"/>
            <w:hideMark/>
          </w:tcPr>
          <w:p w14:paraId="2843BC8E" w14:textId="68979847" w:rsidR="00354607" w:rsidRPr="00AC0422" w:rsidRDefault="00354607"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Total Project Outcomes in USD</w:t>
            </w:r>
          </w:p>
        </w:tc>
        <w:tc>
          <w:tcPr>
            <w:tcW w:w="5931" w:type="dxa"/>
            <w:gridSpan w:val="4"/>
            <w:tcBorders>
              <w:top w:val="single" w:sz="8" w:space="0" w:color="auto"/>
              <w:left w:val="nil"/>
              <w:bottom w:val="single" w:sz="8" w:space="0" w:color="auto"/>
              <w:right w:val="single" w:sz="8" w:space="0" w:color="000000"/>
            </w:tcBorders>
            <w:shd w:val="clear" w:color="000000" w:fill="BCD85F"/>
            <w:noWrap/>
            <w:vAlign w:val="center"/>
          </w:tcPr>
          <w:p w14:paraId="49A5567F" w14:textId="497ADC3D" w:rsidR="00354607" w:rsidRPr="00AC0422" w:rsidRDefault="00147186" w:rsidP="00E13E5A">
            <w:pPr>
              <w:spacing w:after="0"/>
              <w:jc w:val="center"/>
              <w:rPr>
                <w:rFonts w:asciiTheme="minorHAnsi" w:hAnsiTheme="minorHAnsi" w:cstheme="minorHAnsi"/>
                <w:b/>
                <w:bCs/>
                <w:i/>
                <w:color w:val="000000"/>
                <w:szCs w:val="20"/>
              </w:rPr>
            </w:pPr>
            <w:r w:rsidRPr="00AC0422">
              <w:rPr>
                <w:rFonts w:asciiTheme="minorHAnsi" w:hAnsiTheme="minorHAnsi" w:cstheme="minorHAnsi"/>
                <w:b/>
                <w:bCs/>
                <w:i/>
                <w:color w:val="000000"/>
                <w:szCs w:val="20"/>
              </w:rPr>
              <w:t>2,672,800.00</w:t>
            </w:r>
          </w:p>
        </w:tc>
      </w:tr>
      <w:tr w:rsidR="00354607" w:rsidRPr="00AC0422" w14:paraId="7F4810C5" w14:textId="63520CF5" w:rsidTr="003F6F69">
        <w:trPr>
          <w:trHeight w:val="525"/>
          <w:jc w:val="center"/>
        </w:trPr>
        <w:tc>
          <w:tcPr>
            <w:tcW w:w="3109" w:type="dxa"/>
            <w:tcBorders>
              <w:top w:val="nil"/>
              <w:left w:val="single" w:sz="8" w:space="0" w:color="auto"/>
              <w:bottom w:val="single" w:sz="8" w:space="0" w:color="auto"/>
              <w:right w:val="single" w:sz="8" w:space="0" w:color="auto"/>
            </w:tcBorders>
            <w:shd w:val="clear" w:color="000000" w:fill="BCD85F"/>
            <w:vAlign w:val="center"/>
            <w:hideMark/>
          </w:tcPr>
          <w:p w14:paraId="3FA95DEA" w14:textId="73E9597F" w:rsidR="00354607" w:rsidRPr="00AC0422" w:rsidRDefault="00354607"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DP Fee in USD</w:t>
            </w:r>
          </w:p>
        </w:tc>
        <w:tc>
          <w:tcPr>
            <w:tcW w:w="5931" w:type="dxa"/>
            <w:gridSpan w:val="4"/>
            <w:tcBorders>
              <w:top w:val="single" w:sz="8" w:space="0" w:color="auto"/>
              <w:left w:val="nil"/>
              <w:bottom w:val="single" w:sz="8" w:space="0" w:color="auto"/>
              <w:right w:val="single" w:sz="8" w:space="0" w:color="000000"/>
            </w:tcBorders>
            <w:shd w:val="clear" w:color="000000" w:fill="BCD85F"/>
            <w:noWrap/>
            <w:vAlign w:val="center"/>
          </w:tcPr>
          <w:p w14:paraId="5F84A8AE" w14:textId="6B11671A" w:rsidR="00354607" w:rsidRPr="00AC0422" w:rsidRDefault="000E4D45" w:rsidP="00E13E5A">
            <w:pPr>
              <w:spacing w:after="0"/>
              <w:jc w:val="center"/>
              <w:rPr>
                <w:rFonts w:asciiTheme="minorHAnsi" w:hAnsiTheme="minorHAnsi" w:cstheme="minorHAnsi"/>
                <w:b/>
                <w:bCs/>
                <w:i/>
                <w:color w:val="000000"/>
                <w:szCs w:val="20"/>
              </w:rPr>
            </w:pPr>
            <w:r w:rsidRPr="00AC0422">
              <w:rPr>
                <w:rFonts w:asciiTheme="minorHAnsi" w:hAnsiTheme="minorHAnsi" w:cstheme="minorHAnsi"/>
                <w:b/>
                <w:bCs/>
                <w:i/>
                <w:color w:val="000000"/>
                <w:szCs w:val="20"/>
              </w:rPr>
              <w:t xml:space="preserve">227,188.00 </w:t>
            </w:r>
          </w:p>
        </w:tc>
      </w:tr>
      <w:tr w:rsidR="00354607" w:rsidRPr="00AC0422" w14:paraId="640A17E0" w14:textId="2292094C" w:rsidTr="003F6F69">
        <w:trPr>
          <w:trHeight w:val="315"/>
          <w:jc w:val="center"/>
        </w:trPr>
        <w:tc>
          <w:tcPr>
            <w:tcW w:w="3109" w:type="dxa"/>
            <w:tcBorders>
              <w:top w:val="nil"/>
              <w:left w:val="single" w:sz="8" w:space="0" w:color="auto"/>
              <w:bottom w:val="single" w:sz="8" w:space="0" w:color="auto"/>
              <w:right w:val="single" w:sz="8" w:space="0" w:color="auto"/>
            </w:tcBorders>
            <w:shd w:val="clear" w:color="000000" w:fill="BCD85F"/>
            <w:vAlign w:val="center"/>
            <w:hideMark/>
          </w:tcPr>
          <w:p w14:paraId="0AB8558C" w14:textId="5F031085" w:rsidR="00354607" w:rsidRPr="00AC0422" w:rsidRDefault="00354607" w:rsidP="00354607">
            <w:pPr>
              <w:spacing w:after="0"/>
              <w:jc w:val="left"/>
              <w:rPr>
                <w:rFonts w:asciiTheme="minorHAnsi" w:hAnsiTheme="minorHAnsi" w:cstheme="minorHAnsi"/>
                <w:i/>
                <w:color w:val="000000"/>
                <w:szCs w:val="20"/>
              </w:rPr>
            </w:pPr>
            <w:r w:rsidRPr="00AC0422">
              <w:rPr>
                <w:rFonts w:asciiTheme="minorHAnsi" w:hAnsiTheme="minorHAnsi" w:cstheme="minorHAnsi"/>
                <w:i/>
                <w:color w:val="000000"/>
                <w:szCs w:val="20"/>
              </w:rPr>
              <w:t>Total Project Budget in USD</w:t>
            </w:r>
          </w:p>
        </w:tc>
        <w:tc>
          <w:tcPr>
            <w:tcW w:w="5931" w:type="dxa"/>
            <w:gridSpan w:val="4"/>
            <w:tcBorders>
              <w:top w:val="single" w:sz="8" w:space="0" w:color="auto"/>
              <w:left w:val="nil"/>
              <w:bottom w:val="single" w:sz="8" w:space="0" w:color="auto"/>
              <w:right w:val="single" w:sz="8" w:space="0" w:color="000000"/>
            </w:tcBorders>
            <w:shd w:val="clear" w:color="000000" w:fill="BCD85F"/>
            <w:noWrap/>
            <w:vAlign w:val="center"/>
          </w:tcPr>
          <w:p w14:paraId="5CB698A0" w14:textId="195B82A0" w:rsidR="00354607" w:rsidRPr="00AC0422" w:rsidRDefault="003F6F69" w:rsidP="00E13E5A">
            <w:pPr>
              <w:spacing w:after="0"/>
              <w:jc w:val="center"/>
              <w:rPr>
                <w:rFonts w:asciiTheme="minorHAnsi" w:hAnsiTheme="minorHAnsi" w:cstheme="minorHAnsi"/>
                <w:b/>
                <w:bCs/>
                <w:i/>
                <w:color w:val="000000"/>
                <w:szCs w:val="20"/>
              </w:rPr>
            </w:pPr>
            <w:r w:rsidRPr="00AC0422">
              <w:rPr>
                <w:rFonts w:asciiTheme="minorHAnsi" w:hAnsiTheme="minorHAnsi" w:cstheme="minorHAnsi"/>
                <w:b/>
                <w:bCs/>
                <w:i/>
                <w:color w:val="000000"/>
                <w:szCs w:val="20"/>
              </w:rPr>
              <w:t xml:space="preserve">$2,899,988.00 </w:t>
            </w:r>
            <w:r w:rsidRPr="00AC0422">
              <w:rPr>
                <w:rFonts w:asciiTheme="minorHAnsi" w:hAnsiTheme="minorHAnsi" w:cstheme="minorHAnsi"/>
                <w:b/>
                <w:bCs/>
                <w:i/>
                <w:color w:val="000000"/>
                <w:szCs w:val="20"/>
              </w:rPr>
              <w:tab/>
            </w:r>
          </w:p>
        </w:tc>
      </w:tr>
    </w:tbl>
    <w:p w14:paraId="7242DFD6" w14:textId="577B6826" w:rsidR="00354607" w:rsidRPr="00AC0422" w:rsidRDefault="00354607" w:rsidP="00354607">
      <w:pPr>
        <w:spacing w:after="0"/>
        <w:jc w:val="left"/>
        <w:rPr>
          <w:rFonts w:asciiTheme="minorHAnsi" w:hAnsiTheme="minorHAnsi" w:cstheme="minorHAnsi"/>
          <w:i/>
          <w:color w:val="000000"/>
          <w:szCs w:val="20"/>
        </w:rPr>
      </w:pPr>
    </w:p>
    <w:p w14:paraId="179E3806" w14:textId="77777777" w:rsidR="00354607" w:rsidRPr="00AC0422" w:rsidRDefault="00354607" w:rsidP="00354607">
      <w:pPr>
        <w:spacing w:after="0"/>
        <w:jc w:val="left"/>
        <w:rPr>
          <w:rFonts w:asciiTheme="minorHAnsi" w:hAnsiTheme="minorHAnsi" w:cstheme="minorHAnsi"/>
          <w:i/>
          <w:color w:val="000000"/>
          <w:szCs w:val="20"/>
          <w:highlight w:val="yellow"/>
          <w:u w:val="single"/>
        </w:rPr>
      </w:pPr>
    </w:p>
    <w:p w14:paraId="30E49C5B" w14:textId="77777777" w:rsidR="000A35E6" w:rsidRPr="00AC0422" w:rsidRDefault="000A35E6" w:rsidP="000A35E6">
      <w:pPr>
        <w:spacing w:after="0"/>
        <w:rPr>
          <w:rFonts w:asciiTheme="minorHAnsi" w:hAnsiTheme="minorHAnsi" w:cstheme="minorHAnsi"/>
          <w:color w:val="000000"/>
          <w:szCs w:val="20"/>
        </w:rPr>
      </w:pPr>
      <w:r w:rsidRPr="00AC0422">
        <w:rPr>
          <w:rFonts w:asciiTheme="minorHAnsi" w:hAnsiTheme="minorHAnsi" w:cstheme="minorHAnsi"/>
          <w:color w:val="000000"/>
          <w:szCs w:val="20"/>
          <w:u w:val="single"/>
        </w:rPr>
        <w:t>Budget Revision and Tolerance</w:t>
      </w:r>
      <w:r w:rsidRPr="00AC0422">
        <w:rPr>
          <w:rFonts w:asciiTheme="minorHAnsi" w:hAnsiTheme="minorHAnsi" w:cstheme="minorHAnsi"/>
          <w:color w:val="000000"/>
          <w:szCs w:val="20"/>
        </w:rPr>
        <w:t xml:space="preserve">:  20% of the total overall projected costs can be reallocated among outcomes. No changes are allowed in the PMC. Any budget reallocation involving a major change in the project’s scope, structure, design or objectives or any other change that substantially alters the purpose or benefit of the project requires the GCF’s prior written consent. </w:t>
      </w:r>
    </w:p>
    <w:p w14:paraId="4D4F21B4" w14:textId="77777777" w:rsidR="000A35E6" w:rsidRPr="00AC0422" w:rsidRDefault="000A35E6" w:rsidP="000A35E6">
      <w:pPr>
        <w:spacing w:after="0"/>
        <w:rPr>
          <w:rFonts w:asciiTheme="minorHAnsi" w:hAnsiTheme="minorHAnsi" w:cstheme="minorHAnsi"/>
          <w:color w:val="000000"/>
          <w:szCs w:val="20"/>
        </w:rPr>
      </w:pPr>
    </w:p>
    <w:p w14:paraId="6FCCDDA4" w14:textId="77777777" w:rsidR="000A35E6" w:rsidRPr="00AC0422" w:rsidRDefault="000A35E6" w:rsidP="000A35E6">
      <w:pPr>
        <w:spacing w:after="0"/>
        <w:rPr>
          <w:rFonts w:asciiTheme="minorHAnsi" w:hAnsiTheme="minorHAnsi" w:cstheme="minorHAnsi"/>
          <w:color w:val="000000"/>
          <w:szCs w:val="20"/>
        </w:rPr>
      </w:pPr>
      <w:r w:rsidRPr="00AC0422">
        <w:rPr>
          <w:rFonts w:asciiTheme="minorHAnsi" w:hAnsiTheme="minorHAnsi" w:cstheme="minorHAnsi"/>
          <w:color w:val="000000"/>
          <w:szCs w:val="20"/>
        </w:rPr>
        <w:t xml:space="preserve">As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(within the GCF requirements noted above). Should such deviation occur, the Project Manager and UNDP Country office will seek the approval of the UNDP-Climate Hub. </w:t>
      </w:r>
    </w:p>
    <w:p w14:paraId="215FC1F5" w14:textId="77777777" w:rsidR="000A35E6" w:rsidRPr="00AC0422" w:rsidRDefault="000A35E6" w:rsidP="000A35E6">
      <w:pPr>
        <w:spacing w:after="0"/>
        <w:rPr>
          <w:rFonts w:asciiTheme="minorHAnsi" w:hAnsiTheme="minorHAnsi" w:cstheme="minorHAnsi"/>
          <w:color w:val="000000"/>
          <w:szCs w:val="20"/>
        </w:rPr>
      </w:pPr>
    </w:p>
    <w:p w14:paraId="71A0A4B3" w14:textId="77777777" w:rsidR="000A35E6" w:rsidRPr="00AC0422" w:rsidRDefault="000A35E6" w:rsidP="000A35E6">
      <w:pPr>
        <w:spacing w:after="0"/>
        <w:rPr>
          <w:rFonts w:asciiTheme="minorHAnsi" w:hAnsiTheme="minorHAnsi" w:cstheme="minorHAnsi"/>
          <w:color w:val="000000"/>
          <w:szCs w:val="20"/>
          <w:u w:val="single"/>
        </w:rPr>
      </w:pPr>
      <w:r w:rsidRPr="00AC0422">
        <w:rPr>
          <w:rFonts w:asciiTheme="minorHAnsi" w:hAnsiTheme="minorHAnsi" w:cstheme="minorHAnsi"/>
          <w:color w:val="000000"/>
          <w:szCs w:val="20"/>
        </w:rPr>
        <w:t>Any over expenditure incurred beyond the available GCF grant amount will be absorbed by the Country Office using non-GCF resources (e.g. UNDP TRAC or cash co-financing).</w:t>
      </w:r>
      <w:r w:rsidRPr="00AC0422">
        <w:rPr>
          <w:rFonts w:asciiTheme="minorHAnsi" w:hAnsiTheme="minorHAnsi" w:cstheme="minorHAnsi"/>
          <w:color w:val="000000"/>
          <w:szCs w:val="20"/>
          <w:u w:val="single"/>
        </w:rPr>
        <w:t xml:space="preserve"> </w:t>
      </w:r>
    </w:p>
    <w:p w14:paraId="3ADB58EB" w14:textId="77777777" w:rsidR="000A35E6" w:rsidRPr="00AC0422" w:rsidRDefault="000A35E6" w:rsidP="000A35E6">
      <w:pPr>
        <w:spacing w:after="0"/>
        <w:rPr>
          <w:rFonts w:asciiTheme="minorHAnsi" w:hAnsiTheme="minorHAnsi" w:cstheme="minorHAnsi"/>
          <w:color w:val="000000"/>
          <w:szCs w:val="20"/>
          <w:u w:val="single"/>
        </w:rPr>
      </w:pPr>
    </w:p>
    <w:p w14:paraId="0BEF0CCF" w14:textId="77777777" w:rsidR="000A35E6" w:rsidRPr="00AC0422" w:rsidRDefault="000A35E6" w:rsidP="000A35E6">
      <w:pPr>
        <w:spacing w:after="0"/>
        <w:rPr>
          <w:rFonts w:asciiTheme="minorHAnsi" w:hAnsiTheme="minorHAnsi" w:cstheme="minorHAnsi"/>
          <w:color w:val="000000"/>
          <w:szCs w:val="20"/>
          <w:u w:val="single"/>
        </w:rPr>
      </w:pPr>
      <w:r w:rsidRPr="00AC0422">
        <w:rPr>
          <w:rFonts w:asciiTheme="minorHAnsi" w:hAnsiTheme="minorHAnsi" w:cstheme="minorHAnsi"/>
          <w:color w:val="000000"/>
          <w:szCs w:val="20"/>
          <w:u w:val="single"/>
        </w:rPr>
        <w:t xml:space="preserve">Audit: </w:t>
      </w:r>
      <w:r w:rsidRPr="00AC0422">
        <w:rPr>
          <w:rFonts w:asciiTheme="minorHAnsi" w:hAnsiTheme="minorHAnsi" w:cstheme="minorHAnsi"/>
          <w:color w:val="000000"/>
          <w:szCs w:val="20"/>
        </w:rPr>
        <w:t>The project will be audited according to UNDP Financial Regulations and Rules and applicable audit policies on DIM implemented projects. Upon request, project audit reports (s) will be shared with the GCF (the donor).</w:t>
      </w:r>
    </w:p>
    <w:p w14:paraId="6CCB2814" w14:textId="77777777" w:rsidR="000A35E6" w:rsidRPr="00AC0422" w:rsidRDefault="000A35E6" w:rsidP="000A35E6">
      <w:pPr>
        <w:spacing w:after="0"/>
        <w:rPr>
          <w:rFonts w:asciiTheme="minorHAnsi" w:hAnsiTheme="minorHAnsi" w:cstheme="minorHAnsi"/>
          <w:color w:val="000000"/>
          <w:szCs w:val="20"/>
          <w:u w:val="single"/>
        </w:rPr>
      </w:pPr>
    </w:p>
    <w:p w14:paraId="48CD8106" w14:textId="77777777" w:rsidR="000A35E6" w:rsidRPr="00AC0422" w:rsidRDefault="000A35E6" w:rsidP="000A35E6">
      <w:pPr>
        <w:spacing w:after="0"/>
        <w:rPr>
          <w:rFonts w:asciiTheme="minorHAnsi" w:hAnsiTheme="minorHAnsi" w:cstheme="minorHAnsi"/>
          <w:color w:val="000000"/>
          <w:szCs w:val="20"/>
        </w:rPr>
      </w:pPr>
      <w:r w:rsidRPr="00AC0422">
        <w:rPr>
          <w:rFonts w:asciiTheme="minorHAnsi" w:hAnsiTheme="minorHAnsi" w:cstheme="minorHAnsi"/>
          <w:color w:val="000000"/>
          <w:szCs w:val="20"/>
          <w:u w:val="single"/>
        </w:rPr>
        <w:t>Refund to GCF:</w:t>
      </w:r>
      <w:r w:rsidRPr="00AC0422">
        <w:rPr>
          <w:rFonts w:asciiTheme="minorHAnsi" w:hAnsiTheme="minorHAnsi" w:cstheme="minorHAnsi"/>
          <w:color w:val="000000"/>
          <w:szCs w:val="20"/>
        </w:rPr>
        <w:t xml:space="preserve">  Unspent GCF resources must be returned to the GCF.  Should a refund of unspent funds to the GCF be necessary, this will be managed directly by the UNDP-VF Unit in New York. </w:t>
      </w:r>
    </w:p>
    <w:p w14:paraId="0EDBA377" w14:textId="77777777" w:rsidR="000A35E6" w:rsidRPr="00AC0422" w:rsidRDefault="000A35E6" w:rsidP="000A35E6">
      <w:pPr>
        <w:spacing w:after="0"/>
        <w:rPr>
          <w:rFonts w:asciiTheme="minorHAnsi" w:hAnsiTheme="minorHAnsi" w:cstheme="minorHAnsi"/>
          <w:color w:val="000000"/>
          <w:szCs w:val="20"/>
          <w:u w:val="single"/>
        </w:rPr>
      </w:pPr>
    </w:p>
    <w:p w14:paraId="1B1ACF5E" w14:textId="24E33D7C" w:rsidR="000A35E6" w:rsidRPr="00AC0422" w:rsidRDefault="000A35E6" w:rsidP="000A35E6">
      <w:pPr>
        <w:spacing w:after="0"/>
        <w:rPr>
          <w:rFonts w:asciiTheme="minorHAnsi" w:hAnsiTheme="minorHAnsi" w:cstheme="minorHAnsi"/>
          <w:iCs/>
          <w:color w:val="000000"/>
        </w:rPr>
      </w:pPr>
      <w:r w:rsidRPr="00AC0422">
        <w:rPr>
          <w:rFonts w:asciiTheme="minorHAnsi" w:hAnsiTheme="minorHAnsi" w:cstheme="minorHAnsi"/>
          <w:iCs/>
          <w:color w:val="000000"/>
          <w:u w:val="single"/>
        </w:rPr>
        <w:lastRenderedPageBreak/>
        <w:t>Project Closure</w:t>
      </w:r>
      <w:r w:rsidRPr="00AC0422">
        <w:rPr>
          <w:rFonts w:asciiTheme="minorHAnsi" w:hAnsiTheme="minorHAnsi" w:cstheme="minorHAnsi"/>
          <w:iCs/>
          <w:color w:val="000000"/>
        </w:rPr>
        <w:t xml:space="preserve">: Project closure will be conducted as per UNDP requirements outlined in the </w:t>
      </w:r>
      <w:hyperlink r:id="rId51" w:history="1">
        <w:r w:rsidRPr="00AC0422">
          <w:rPr>
            <w:rStyle w:val="Hyperlink"/>
            <w:rFonts w:asciiTheme="minorHAnsi" w:hAnsiTheme="minorHAnsi" w:cstheme="minorHAnsi"/>
            <w:iCs/>
          </w:rPr>
          <w:t>UNDP POPP</w:t>
        </w:r>
      </w:hyperlink>
      <w:r w:rsidRPr="00AC0422">
        <w:rPr>
          <w:rFonts w:asciiTheme="minorHAnsi" w:hAnsiTheme="minorHAnsi" w:cstheme="minorHAnsi"/>
          <w:iCs/>
          <w:color w:val="000000"/>
        </w:rPr>
        <w:t xml:space="preserve">. On an exceptional basis only, a no-cost extension beyond the initial duration of the project will be sought from in-country UNDP colleagues and then the UNDP-VF Executive Coordinator. </w:t>
      </w:r>
    </w:p>
    <w:p w14:paraId="2C6FE25D" w14:textId="77777777" w:rsidR="00354607" w:rsidRPr="00AC0422" w:rsidRDefault="00354607" w:rsidP="00CF072F">
      <w:pPr>
        <w:spacing w:after="0"/>
        <w:rPr>
          <w:rFonts w:asciiTheme="minorHAnsi" w:hAnsiTheme="minorHAnsi" w:cstheme="minorHAnsi"/>
          <w:i/>
          <w:color w:val="000000"/>
          <w:szCs w:val="20"/>
        </w:rPr>
      </w:pPr>
    </w:p>
    <w:p w14:paraId="05482DC7" w14:textId="77777777" w:rsidR="000A35E6" w:rsidRPr="00AC0422" w:rsidRDefault="000A35E6" w:rsidP="000A35E6">
      <w:pPr>
        <w:spacing w:after="0"/>
        <w:rPr>
          <w:rFonts w:asciiTheme="minorHAnsi" w:hAnsiTheme="minorHAnsi" w:cstheme="minorHAnsi"/>
          <w:color w:val="000000"/>
          <w:szCs w:val="20"/>
        </w:rPr>
      </w:pPr>
      <w:r w:rsidRPr="00AC0422">
        <w:rPr>
          <w:rFonts w:asciiTheme="minorHAnsi" w:hAnsiTheme="minorHAnsi" w:cstheme="minorHAnsi"/>
          <w:color w:val="000000"/>
          <w:szCs w:val="20"/>
          <w:u w:val="single"/>
        </w:rPr>
        <w:t>Operational completion</w:t>
      </w:r>
      <w:r w:rsidRPr="00AC0422">
        <w:rPr>
          <w:rFonts w:asciiTheme="minorHAnsi" w:hAnsiTheme="minorHAnsi" w:cstheme="minorHAnsi"/>
          <w:color w:val="000000"/>
          <w:szCs w:val="20"/>
        </w:rPr>
        <w:t xml:space="preserve">: The project will be operationally completed when the last UNDP-financed inputs have been provided and the related activities have been completed. This includes the final clearance of the end-of-project review Project Board meeting. The UNDP CO through a Project Board decision will notify the UNDP  Climate Hub when operational closure has been completed. </w:t>
      </w:r>
    </w:p>
    <w:p w14:paraId="3D10CF8F" w14:textId="77777777" w:rsidR="000A35E6" w:rsidRPr="00AC0422" w:rsidRDefault="000A35E6" w:rsidP="000A35E6">
      <w:pPr>
        <w:spacing w:after="0"/>
        <w:rPr>
          <w:rFonts w:asciiTheme="minorHAnsi" w:hAnsiTheme="minorHAnsi" w:cstheme="minorHAnsi"/>
          <w:color w:val="000000"/>
          <w:szCs w:val="20"/>
          <w:u w:val="single"/>
        </w:rPr>
      </w:pPr>
    </w:p>
    <w:p w14:paraId="48F7777E" w14:textId="77777777" w:rsidR="000A35E6" w:rsidRPr="00AC0422" w:rsidRDefault="000A35E6" w:rsidP="000A35E6">
      <w:pPr>
        <w:spacing w:after="0"/>
        <w:rPr>
          <w:rFonts w:asciiTheme="minorHAnsi" w:hAnsiTheme="minorHAnsi" w:cstheme="minorHAnsi"/>
          <w:color w:val="000000"/>
          <w:szCs w:val="20"/>
        </w:rPr>
      </w:pPr>
      <w:r w:rsidRPr="00AC0422">
        <w:rPr>
          <w:rFonts w:asciiTheme="minorHAnsi" w:hAnsiTheme="minorHAnsi" w:cstheme="minorHAnsi"/>
          <w:color w:val="000000"/>
          <w:szCs w:val="20"/>
          <w:u w:val="single"/>
        </w:rPr>
        <w:t>Transfer or disposal of assets</w:t>
      </w:r>
      <w:r w:rsidRPr="00AC0422">
        <w:rPr>
          <w:rFonts w:asciiTheme="minorHAnsi" w:hAnsiTheme="minorHAnsi" w:cstheme="minorHAnsi"/>
          <w:color w:val="000000"/>
          <w:szCs w:val="20"/>
        </w:rPr>
        <w:t xml:space="preserve">: In consultation with the other parties of the project, UNDP </w:t>
      </w:r>
      <w:proofErr w:type="spellStart"/>
      <w:r w:rsidRPr="00AC0422">
        <w:rPr>
          <w:rFonts w:asciiTheme="minorHAnsi" w:hAnsiTheme="minorHAnsi" w:cstheme="minorHAnsi"/>
          <w:color w:val="000000"/>
          <w:szCs w:val="20"/>
        </w:rPr>
        <w:t>programme</w:t>
      </w:r>
      <w:proofErr w:type="spellEnd"/>
      <w:r w:rsidRPr="00AC0422">
        <w:rPr>
          <w:rFonts w:asciiTheme="minorHAnsi" w:hAnsiTheme="minorHAnsi" w:cstheme="minorHAnsi"/>
          <w:color w:val="000000"/>
          <w:szCs w:val="20"/>
        </w:rPr>
        <w:t xml:space="preserv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AC0422">
        <w:rPr>
          <w:rFonts w:asciiTheme="minorHAnsi" w:hAnsiTheme="minorHAnsi" w:cstheme="minorHAnsi"/>
          <w:color w:val="000000"/>
          <w:szCs w:val="20"/>
          <w:vertAlign w:val="superscript"/>
        </w:rPr>
        <w:footnoteReference w:id="23"/>
      </w:r>
      <w:r w:rsidRPr="00AC0422">
        <w:rPr>
          <w:rFonts w:asciiTheme="minorHAnsi" w:hAnsiTheme="minorHAnsi" w:cstheme="minorHAnsi"/>
          <w:color w:val="000000"/>
          <w:szCs w:val="20"/>
        </w:rPr>
        <w:t xml:space="preserve">. </w:t>
      </w:r>
    </w:p>
    <w:p w14:paraId="58AFEEBE" w14:textId="77777777" w:rsidR="000A35E6" w:rsidRPr="00AC0422" w:rsidRDefault="000A35E6" w:rsidP="000A35E6">
      <w:pPr>
        <w:spacing w:after="0"/>
        <w:rPr>
          <w:rFonts w:asciiTheme="minorHAnsi" w:hAnsiTheme="minorHAnsi" w:cstheme="minorHAnsi"/>
          <w:color w:val="000000"/>
          <w:szCs w:val="20"/>
          <w:u w:val="single"/>
        </w:rPr>
      </w:pPr>
    </w:p>
    <w:p w14:paraId="7066E449" w14:textId="77777777" w:rsidR="000A35E6" w:rsidRPr="00AC0422" w:rsidRDefault="000A35E6" w:rsidP="000A35E6">
      <w:pPr>
        <w:spacing w:after="0"/>
        <w:rPr>
          <w:rFonts w:asciiTheme="minorHAnsi" w:hAnsiTheme="minorHAnsi" w:cstheme="minorHAnsi"/>
          <w:color w:val="000000"/>
          <w:szCs w:val="20"/>
        </w:rPr>
      </w:pPr>
      <w:r w:rsidRPr="00AC0422">
        <w:rPr>
          <w:rFonts w:asciiTheme="minorHAnsi" w:hAnsiTheme="minorHAnsi" w:cstheme="minorHAnsi"/>
          <w:color w:val="000000"/>
          <w:szCs w:val="20"/>
          <w:u w:val="single"/>
        </w:rPr>
        <w:t>Financial completion</w:t>
      </w:r>
      <w:r w:rsidRPr="00AC0422">
        <w:rPr>
          <w:rFonts w:asciiTheme="minorHAnsi" w:hAnsiTheme="minorHAnsi" w:cstheme="minorHAnsi"/>
          <w:color w:val="000000"/>
          <w:szCs w:val="20"/>
        </w:rPr>
        <w:t xml:space="preserve">: The project will be financially closed when the following conditions have been met: a) The project is operationally completed or has been cancelled; b) UNDP CO has closed the accounts for the project; d) UNDP CO has certified a final Combined Delivery Report (which serves as final budget revision). </w:t>
      </w:r>
    </w:p>
    <w:p w14:paraId="3650A8A0" w14:textId="77777777" w:rsidR="000A35E6" w:rsidRPr="00AC0422" w:rsidRDefault="000A35E6" w:rsidP="000A35E6">
      <w:pPr>
        <w:spacing w:after="0"/>
        <w:rPr>
          <w:rFonts w:asciiTheme="minorHAnsi" w:hAnsiTheme="minorHAnsi" w:cstheme="minorHAnsi"/>
          <w:color w:val="000000"/>
          <w:szCs w:val="20"/>
        </w:rPr>
      </w:pPr>
    </w:p>
    <w:p w14:paraId="4F61CF60" w14:textId="77777777" w:rsidR="000A35E6" w:rsidRPr="00AC0422" w:rsidRDefault="000A35E6" w:rsidP="000A35E6">
      <w:pPr>
        <w:spacing w:after="0"/>
        <w:rPr>
          <w:rFonts w:asciiTheme="minorHAnsi" w:hAnsiTheme="minorHAnsi" w:cstheme="minorHAnsi"/>
          <w:color w:val="000000"/>
          <w:szCs w:val="20"/>
        </w:rPr>
      </w:pPr>
      <w:r w:rsidRPr="00AC0422">
        <w:rPr>
          <w:rFonts w:asciiTheme="minorHAnsi" w:hAnsiTheme="minorHAnsi" w:cstheme="minorHAnsi"/>
          <w:color w:val="000000"/>
          <w:szCs w:val="20"/>
        </w:rPr>
        <w:t>The project is required to be financially completed within 6 months of operational closure or after the date of cancellation. Between operational and financial closure, the UNDP CO will identify and settle all financial obligations and prepare a final expenditure report. The UNDP Country Office will send the final signed closure documents including confirmation of final cumulative expenditure and unspent balance to the UNDP-VF Unit for confirmation before the project will be financially closed in Quantum by the UNDP Country Office.</w:t>
      </w:r>
    </w:p>
    <w:p w14:paraId="13255B74" w14:textId="77777777" w:rsidR="00740F26" w:rsidRPr="00AC0422" w:rsidRDefault="00740F26" w:rsidP="001354E3">
      <w:pPr>
        <w:spacing w:after="0"/>
        <w:jc w:val="left"/>
        <w:rPr>
          <w:rFonts w:asciiTheme="minorHAnsi" w:hAnsiTheme="minorHAnsi" w:cstheme="minorHAnsi"/>
          <w:b/>
          <w:smallCaps/>
          <w:spacing w:val="-2"/>
          <w:szCs w:val="20"/>
        </w:rPr>
        <w:sectPr w:rsidR="00740F26" w:rsidRPr="00AC0422" w:rsidSect="00950B12">
          <w:headerReference w:type="default" r:id="rId52"/>
          <w:footerReference w:type="default" r:id="rId53"/>
          <w:pgSz w:w="12240" w:h="15840" w:code="1"/>
          <w:pgMar w:top="1440" w:right="1440" w:bottom="1440" w:left="1440" w:header="720" w:footer="432" w:gutter="0"/>
          <w:cols w:space="708"/>
          <w:titlePg/>
          <w:docGrid w:linePitch="360"/>
        </w:sectPr>
      </w:pPr>
    </w:p>
    <w:p w14:paraId="1B322ECF" w14:textId="1B87CFFB" w:rsidR="003E3ABA" w:rsidRPr="00AC0422" w:rsidRDefault="003E3ABA" w:rsidP="003B2A79">
      <w:pPr>
        <w:pStyle w:val="Heading1"/>
        <w:spacing w:before="0" w:after="60"/>
        <w:rPr>
          <w:rFonts w:asciiTheme="minorHAnsi" w:hAnsiTheme="minorHAnsi" w:cstheme="minorHAnsi"/>
          <w:szCs w:val="28"/>
        </w:rPr>
      </w:pPr>
      <w:bookmarkStart w:id="37" w:name="_Toc40273942"/>
      <w:r w:rsidRPr="00AC0422">
        <w:rPr>
          <w:rFonts w:asciiTheme="minorHAnsi" w:hAnsiTheme="minorHAnsi" w:cstheme="minorHAnsi"/>
          <w:szCs w:val="28"/>
        </w:rPr>
        <w:lastRenderedPageBreak/>
        <w:t>Total Budget and Work Plan</w:t>
      </w:r>
      <w:bookmarkEnd w:id="37"/>
    </w:p>
    <w:p w14:paraId="63C267D4" w14:textId="0625BCED" w:rsidR="00470E9A" w:rsidRPr="00AC0422" w:rsidRDefault="00470E9A" w:rsidP="00470E9A">
      <w:pPr>
        <w:rPr>
          <w:rFonts w:asciiTheme="minorHAnsi" w:hAnsiTheme="minorHAnsi" w:cstheme="minorHAnsi"/>
          <w:sz w:val="18"/>
          <w:szCs w:val="18"/>
        </w:rPr>
      </w:pPr>
    </w:p>
    <w:tbl>
      <w:tblPr>
        <w:tblW w:w="13520" w:type="dxa"/>
        <w:tblLook w:val="04A0" w:firstRow="1" w:lastRow="0" w:firstColumn="1" w:lastColumn="0" w:noHBand="0" w:noVBand="1"/>
      </w:tblPr>
      <w:tblGrid>
        <w:gridCol w:w="3780"/>
        <w:gridCol w:w="2700"/>
        <w:gridCol w:w="3960"/>
        <w:gridCol w:w="3080"/>
      </w:tblGrid>
      <w:tr w:rsidR="00537DF3" w:rsidRPr="00AC0422" w14:paraId="5486A58A" w14:textId="77777777" w:rsidTr="00537DF3">
        <w:trPr>
          <w:trHeight w:val="320"/>
        </w:trPr>
        <w:tc>
          <w:tcPr>
            <w:tcW w:w="13520" w:type="dxa"/>
            <w:gridSpan w:val="4"/>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268EEF7F" w14:textId="77777777" w:rsidR="00537DF3" w:rsidRPr="00AC0422" w:rsidRDefault="00537DF3" w:rsidP="00537DF3">
            <w:pPr>
              <w:spacing w:after="0"/>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Total Budget and Work Plan</w:t>
            </w:r>
          </w:p>
        </w:tc>
      </w:tr>
      <w:tr w:rsidR="00537DF3" w:rsidRPr="00AC0422" w14:paraId="449B41CC" w14:textId="77777777" w:rsidTr="00537DF3">
        <w:trPr>
          <w:trHeight w:val="555"/>
        </w:trPr>
        <w:tc>
          <w:tcPr>
            <w:tcW w:w="3780" w:type="dxa"/>
            <w:tcBorders>
              <w:top w:val="nil"/>
              <w:left w:val="single" w:sz="8" w:space="0" w:color="auto"/>
              <w:bottom w:val="single" w:sz="8" w:space="0" w:color="auto"/>
              <w:right w:val="single" w:sz="8" w:space="0" w:color="auto"/>
            </w:tcBorders>
            <w:shd w:val="clear" w:color="000000" w:fill="D9D9D9"/>
            <w:noWrap/>
            <w:vAlign w:val="center"/>
            <w:hideMark/>
          </w:tcPr>
          <w:p w14:paraId="4C898722"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Quantum Award ID: </w:t>
            </w:r>
          </w:p>
        </w:tc>
        <w:tc>
          <w:tcPr>
            <w:tcW w:w="2700" w:type="dxa"/>
            <w:tcBorders>
              <w:top w:val="nil"/>
              <w:left w:val="nil"/>
              <w:bottom w:val="single" w:sz="8" w:space="0" w:color="auto"/>
              <w:right w:val="single" w:sz="8" w:space="0" w:color="auto"/>
            </w:tcBorders>
            <w:shd w:val="clear" w:color="000000" w:fill="D9D9D9"/>
            <w:vAlign w:val="center"/>
            <w:hideMark/>
          </w:tcPr>
          <w:p w14:paraId="531201AF" w14:textId="5676D7EA"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w:t>
            </w:r>
            <w:r w:rsidR="00800C9C" w:rsidRPr="00800C9C">
              <w:rPr>
                <w:rFonts w:asciiTheme="minorHAnsi" w:eastAsia="Times New Roman" w:hAnsiTheme="minorHAnsi" w:cstheme="minorHAnsi"/>
                <w:color w:val="000000"/>
                <w:sz w:val="18"/>
                <w:szCs w:val="18"/>
                <w:lang w:val="en-CA"/>
              </w:rPr>
              <w:t>1390392</w:t>
            </w:r>
          </w:p>
        </w:tc>
        <w:tc>
          <w:tcPr>
            <w:tcW w:w="3960" w:type="dxa"/>
            <w:tcBorders>
              <w:top w:val="nil"/>
              <w:left w:val="nil"/>
              <w:bottom w:val="single" w:sz="8" w:space="0" w:color="auto"/>
              <w:right w:val="single" w:sz="8" w:space="0" w:color="auto"/>
            </w:tcBorders>
            <w:shd w:val="clear" w:color="000000" w:fill="D9D9D9"/>
            <w:vAlign w:val="center"/>
            <w:hideMark/>
          </w:tcPr>
          <w:p w14:paraId="74D78AB6"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Quantum Output Project ID:</w:t>
            </w:r>
          </w:p>
        </w:tc>
        <w:tc>
          <w:tcPr>
            <w:tcW w:w="3080" w:type="dxa"/>
            <w:tcBorders>
              <w:top w:val="nil"/>
              <w:left w:val="nil"/>
              <w:bottom w:val="single" w:sz="8" w:space="0" w:color="auto"/>
              <w:right w:val="single" w:sz="8" w:space="0" w:color="auto"/>
            </w:tcBorders>
            <w:shd w:val="clear" w:color="000000" w:fill="D9D9D9"/>
            <w:vAlign w:val="center"/>
            <w:hideMark/>
          </w:tcPr>
          <w:p w14:paraId="0BF156CA" w14:textId="6105A9A4"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w:t>
            </w:r>
            <w:r w:rsidR="00800C9C" w:rsidRPr="00800C9C">
              <w:rPr>
                <w:rFonts w:asciiTheme="minorHAnsi" w:eastAsia="Times New Roman" w:hAnsiTheme="minorHAnsi" w:cstheme="minorHAnsi"/>
                <w:color w:val="000000"/>
                <w:sz w:val="18"/>
                <w:szCs w:val="18"/>
                <w:lang w:val="en-CA"/>
              </w:rPr>
              <w:t>01004504</w:t>
            </w:r>
          </w:p>
        </w:tc>
      </w:tr>
      <w:tr w:rsidR="00537DF3" w:rsidRPr="00AC0422" w14:paraId="58EAEB80" w14:textId="77777777" w:rsidTr="00537DF3">
        <w:trPr>
          <w:trHeight w:val="495"/>
        </w:trPr>
        <w:tc>
          <w:tcPr>
            <w:tcW w:w="3780" w:type="dxa"/>
            <w:tcBorders>
              <w:top w:val="nil"/>
              <w:left w:val="single" w:sz="8" w:space="0" w:color="auto"/>
              <w:bottom w:val="single" w:sz="8" w:space="0" w:color="auto"/>
              <w:right w:val="single" w:sz="8" w:space="0" w:color="auto"/>
            </w:tcBorders>
            <w:shd w:val="clear" w:color="000000" w:fill="D9D9D9"/>
            <w:noWrap/>
            <w:vAlign w:val="center"/>
            <w:hideMark/>
          </w:tcPr>
          <w:p w14:paraId="133814B7"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Quantum Proposal or Award Title:</w:t>
            </w:r>
          </w:p>
        </w:tc>
        <w:tc>
          <w:tcPr>
            <w:tcW w:w="9740" w:type="dxa"/>
            <w:gridSpan w:val="3"/>
            <w:tcBorders>
              <w:top w:val="single" w:sz="8" w:space="0" w:color="auto"/>
              <w:left w:val="nil"/>
              <w:bottom w:val="single" w:sz="8" w:space="0" w:color="auto"/>
              <w:right w:val="single" w:sz="8" w:space="0" w:color="000000"/>
            </w:tcBorders>
            <w:shd w:val="clear" w:color="000000" w:fill="D9D9D9"/>
            <w:vAlign w:val="center"/>
            <w:hideMark/>
          </w:tcPr>
          <w:p w14:paraId="697F6FA5"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PIMS 10103 Yemen GCF NAP Readiness</w:t>
            </w:r>
          </w:p>
        </w:tc>
      </w:tr>
      <w:tr w:rsidR="00537DF3" w:rsidRPr="00AC0422" w14:paraId="2568F345" w14:textId="77777777" w:rsidTr="00537DF3">
        <w:trPr>
          <w:trHeight w:val="570"/>
        </w:trPr>
        <w:tc>
          <w:tcPr>
            <w:tcW w:w="3780" w:type="dxa"/>
            <w:tcBorders>
              <w:top w:val="nil"/>
              <w:left w:val="single" w:sz="8" w:space="0" w:color="auto"/>
              <w:bottom w:val="single" w:sz="8" w:space="0" w:color="auto"/>
              <w:right w:val="single" w:sz="8" w:space="0" w:color="auto"/>
            </w:tcBorders>
            <w:shd w:val="clear" w:color="000000" w:fill="D9D9D9"/>
            <w:noWrap/>
            <w:vAlign w:val="center"/>
            <w:hideMark/>
          </w:tcPr>
          <w:p w14:paraId="4759702E"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Quantum Business Unit</w:t>
            </w:r>
          </w:p>
        </w:tc>
        <w:tc>
          <w:tcPr>
            <w:tcW w:w="2700" w:type="dxa"/>
            <w:tcBorders>
              <w:top w:val="nil"/>
              <w:left w:val="nil"/>
              <w:bottom w:val="single" w:sz="8" w:space="0" w:color="auto"/>
              <w:right w:val="single" w:sz="8" w:space="0" w:color="auto"/>
            </w:tcBorders>
            <w:shd w:val="clear" w:color="000000" w:fill="D9D9D9"/>
            <w:vAlign w:val="center"/>
            <w:hideMark/>
          </w:tcPr>
          <w:p w14:paraId="4D317704"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YEM10</w:t>
            </w:r>
          </w:p>
        </w:tc>
        <w:tc>
          <w:tcPr>
            <w:tcW w:w="3960" w:type="dxa"/>
            <w:tcBorders>
              <w:top w:val="nil"/>
              <w:left w:val="nil"/>
              <w:bottom w:val="single" w:sz="8" w:space="0" w:color="auto"/>
              <w:right w:val="single" w:sz="8" w:space="0" w:color="auto"/>
            </w:tcBorders>
            <w:shd w:val="clear" w:color="000000" w:fill="D9D9D9"/>
            <w:vAlign w:val="center"/>
            <w:hideMark/>
          </w:tcPr>
          <w:p w14:paraId="7DAFBA47"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w:t>
            </w:r>
          </w:p>
        </w:tc>
        <w:tc>
          <w:tcPr>
            <w:tcW w:w="3080" w:type="dxa"/>
            <w:tcBorders>
              <w:top w:val="nil"/>
              <w:left w:val="nil"/>
              <w:bottom w:val="single" w:sz="8" w:space="0" w:color="auto"/>
              <w:right w:val="single" w:sz="8" w:space="0" w:color="auto"/>
            </w:tcBorders>
            <w:shd w:val="clear" w:color="000000" w:fill="D9D9D9"/>
            <w:vAlign w:val="center"/>
            <w:hideMark/>
          </w:tcPr>
          <w:p w14:paraId="598A3039" w14:textId="77777777" w:rsidR="00537DF3" w:rsidRPr="00AC0422" w:rsidRDefault="00537DF3" w:rsidP="00537DF3">
            <w:pPr>
              <w:spacing w:after="0"/>
              <w:rPr>
                <w:rFonts w:asciiTheme="minorHAnsi" w:eastAsia="Times New Roman" w:hAnsiTheme="minorHAnsi" w:cstheme="minorHAnsi"/>
                <w:i/>
                <w:iCs/>
                <w:color w:val="000000"/>
                <w:sz w:val="18"/>
                <w:szCs w:val="18"/>
                <w:lang w:val="en-CA"/>
              </w:rPr>
            </w:pPr>
            <w:r w:rsidRPr="00AC0422">
              <w:rPr>
                <w:rFonts w:asciiTheme="minorHAnsi" w:eastAsia="Times New Roman" w:hAnsiTheme="minorHAnsi" w:cstheme="minorHAnsi"/>
                <w:i/>
                <w:iCs/>
                <w:color w:val="000000"/>
                <w:sz w:val="18"/>
                <w:szCs w:val="18"/>
                <w:lang w:val="en-CA"/>
              </w:rPr>
              <w:t> </w:t>
            </w:r>
          </w:p>
        </w:tc>
      </w:tr>
      <w:tr w:rsidR="00537DF3" w:rsidRPr="00AC0422" w14:paraId="7EE33577" w14:textId="77777777" w:rsidTr="00537DF3">
        <w:trPr>
          <w:trHeight w:val="1065"/>
        </w:trPr>
        <w:tc>
          <w:tcPr>
            <w:tcW w:w="3780" w:type="dxa"/>
            <w:tcBorders>
              <w:top w:val="nil"/>
              <w:left w:val="single" w:sz="8" w:space="0" w:color="auto"/>
              <w:bottom w:val="single" w:sz="8" w:space="0" w:color="auto"/>
              <w:right w:val="single" w:sz="8" w:space="0" w:color="auto"/>
            </w:tcBorders>
            <w:shd w:val="clear" w:color="000000" w:fill="D9D9D9"/>
            <w:noWrap/>
            <w:vAlign w:val="center"/>
            <w:hideMark/>
          </w:tcPr>
          <w:p w14:paraId="46495B82"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Quantum Primary Output Project Title:</w:t>
            </w:r>
          </w:p>
        </w:tc>
        <w:tc>
          <w:tcPr>
            <w:tcW w:w="9740" w:type="dxa"/>
            <w:gridSpan w:val="3"/>
            <w:tcBorders>
              <w:top w:val="single" w:sz="8" w:space="0" w:color="auto"/>
              <w:left w:val="nil"/>
              <w:bottom w:val="single" w:sz="8" w:space="0" w:color="auto"/>
              <w:right w:val="single" w:sz="8" w:space="0" w:color="000000"/>
            </w:tcBorders>
            <w:shd w:val="clear" w:color="000000" w:fill="D9D9D9"/>
            <w:vAlign w:val="center"/>
            <w:hideMark/>
          </w:tcPr>
          <w:p w14:paraId="074861F9"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Building Capacity for the National Adaptation Planning Process in Yemen</w:t>
            </w:r>
          </w:p>
        </w:tc>
      </w:tr>
      <w:tr w:rsidR="00537DF3" w:rsidRPr="00AC0422" w14:paraId="1BBC2931" w14:textId="77777777" w:rsidTr="00537DF3">
        <w:trPr>
          <w:trHeight w:val="320"/>
        </w:trPr>
        <w:tc>
          <w:tcPr>
            <w:tcW w:w="3780" w:type="dxa"/>
            <w:tcBorders>
              <w:top w:val="nil"/>
              <w:left w:val="single" w:sz="8" w:space="0" w:color="auto"/>
              <w:bottom w:val="single" w:sz="8" w:space="0" w:color="auto"/>
              <w:right w:val="single" w:sz="8" w:space="0" w:color="auto"/>
            </w:tcBorders>
            <w:shd w:val="clear" w:color="000000" w:fill="D9D9D9"/>
            <w:noWrap/>
            <w:vAlign w:val="center"/>
            <w:hideMark/>
          </w:tcPr>
          <w:p w14:paraId="6D871648"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UNDP-GCF PIMS No. </w:t>
            </w:r>
          </w:p>
        </w:tc>
        <w:tc>
          <w:tcPr>
            <w:tcW w:w="9740" w:type="dxa"/>
            <w:gridSpan w:val="3"/>
            <w:tcBorders>
              <w:top w:val="single" w:sz="8" w:space="0" w:color="auto"/>
              <w:left w:val="nil"/>
              <w:bottom w:val="single" w:sz="8" w:space="0" w:color="auto"/>
              <w:right w:val="single" w:sz="8" w:space="0" w:color="000000"/>
            </w:tcBorders>
            <w:shd w:val="clear" w:color="000000" w:fill="D9D9D9"/>
            <w:noWrap/>
            <w:vAlign w:val="center"/>
            <w:hideMark/>
          </w:tcPr>
          <w:p w14:paraId="726EB254"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10103</w:t>
            </w:r>
          </w:p>
        </w:tc>
      </w:tr>
      <w:tr w:rsidR="00537DF3" w:rsidRPr="00AC0422" w14:paraId="4DBE496A" w14:textId="77777777" w:rsidTr="00537DF3">
        <w:trPr>
          <w:trHeight w:val="320"/>
        </w:trPr>
        <w:tc>
          <w:tcPr>
            <w:tcW w:w="3780" w:type="dxa"/>
            <w:tcBorders>
              <w:top w:val="nil"/>
              <w:left w:val="single" w:sz="8" w:space="0" w:color="auto"/>
              <w:bottom w:val="single" w:sz="8" w:space="0" w:color="auto"/>
              <w:right w:val="single" w:sz="8" w:space="0" w:color="auto"/>
            </w:tcBorders>
            <w:shd w:val="clear" w:color="000000" w:fill="D9D9D9"/>
            <w:vAlign w:val="center"/>
            <w:hideMark/>
          </w:tcPr>
          <w:p w14:paraId="1C850D34"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Implementing Partner </w:t>
            </w:r>
          </w:p>
        </w:tc>
        <w:tc>
          <w:tcPr>
            <w:tcW w:w="9740" w:type="dxa"/>
            <w:gridSpan w:val="3"/>
            <w:tcBorders>
              <w:top w:val="single" w:sz="8" w:space="0" w:color="auto"/>
              <w:left w:val="nil"/>
              <w:bottom w:val="single" w:sz="8" w:space="0" w:color="auto"/>
              <w:right w:val="single" w:sz="8" w:space="0" w:color="000000"/>
            </w:tcBorders>
            <w:shd w:val="clear" w:color="000000" w:fill="D9D9D9"/>
            <w:noWrap/>
            <w:vAlign w:val="center"/>
            <w:hideMark/>
          </w:tcPr>
          <w:p w14:paraId="3758338C" w14:textId="77777777" w:rsidR="00537DF3" w:rsidRPr="00AC0422" w:rsidRDefault="00537DF3" w:rsidP="00537DF3">
            <w:pPr>
              <w:spacing w:after="0"/>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UNDP</w:t>
            </w:r>
          </w:p>
        </w:tc>
      </w:tr>
    </w:tbl>
    <w:p w14:paraId="341613BF" w14:textId="70CD89F1" w:rsidR="00470E9A" w:rsidRPr="00AC0422" w:rsidRDefault="00470E9A" w:rsidP="00470E9A">
      <w:pPr>
        <w:rPr>
          <w:rFonts w:asciiTheme="minorHAnsi" w:hAnsiTheme="minorHAnsi" w:cstheme="minorHAnsi"/>
          <w:b/>
          <w:sz w:val="18"/>
          <w:szCs w:val="18"/>
        </w:rPr>
      </w:pPr>
    </w:p>
    <w:tbl>
      <w:tblPr>
        <w:tblW w:w="14153" w:type="dxa"/>
        <w:tblLook w:val="04A0" w:firstRow="1" w:lastRow="0" w:firstColumn="1" w:lastColumn="0" w:noHBand="0" w:noVBand="1"/>
      </w:tblPr>
      <w:tblGrid>
        <w:gridCol w:w="1431"/>
        <w:gridCol w:w="1285"/>
        <w:gridCol w:w="1134"/>
        <w:gridCol w:w="1034"/>
        <w:gridCol w:w="1034"/>
        <w:gridCol w:w="1035"/>
        <w:gridCol w:w="1600"/>
        <w:gridCol w:w="946"/>
        <w:gridCol w:w="946"/>
        <w:gridCol w:w="946"/>
        <w:gridCol w:w="946"/>
        <w:gridCol w:w="1067"/>
        <w:gridCol w:w="749"/>
      </w:tblGrid>
      <w:tr w:rsidR="00086132" w:rsidRPr="00AC0422" w14:paraId="7A9F578E" w14:textId="77777777" w:rsidTr="00086132">
        <w:trPr>
          <w:trHeight w:val="279"/>
        </w:trPr>
        <w:tc>
          <w:tcPr>
            <w:tcW w:w="1772" w:type="dxa"/>
            <w:vMerge w:val="restart"/>
            <w:tcBorders>
              <w:top w:val="single" w:sz="8" w:space="0" w:color="auto"/>
              <w:left w:val="single" w:sz="8" w:space="0" w:color="auto"/>
              <w:bottom w:val="nil"/>
              <w:right w:val="single" w:sz="8" w:space="0" w:color="auto"/>
            </w:tcBorders>
            <w:shd w:val="clear" w:color="000000" w:fill="DDEBF7"/>
            <w:vAlign w:val="center"/>
            <w:hideMark/>
          </w:tcPr>
          <w:p w14:paraId="38FF2F67"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Quantum Output (GCF Outcome)</w:t>
            </w:r>
          </w:p>
        </w:tc>
        <w:tc>
          <w:tcPr>
            <w:tcW w:w="1456" w:type="dxa"/>
            <w:tcBorders>
              <w:top w:val="single" w:sz="8" w:space="0" w:color="auto"/>
              <w:left w:val="nil"/>
              <w:bottom w:val="nil"/>
              <w:right w:val="single" w:sz="8" w:space="0" w:color="auto"/>
            </w:tcBorders>
            <w:shd w:val="clear" w:color="000000" w:fill="DDEBF7"/>
            <w:vAlign w:val="center"/>
            <w:hideMark/>
          </w:tcPr>
          <w:p w14:paraId="30CA5644"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 xml:space="preserve">Quantum Activity </w:t>
            </w:r>
          </w:p>
        </w:tc>
        <w:tc>
          <w:tcPr>
            <w:tcW w:w="1151"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5D5C2BFE"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Quantum Responsible Party</w:t>
            </w:r>
          </w:p>
        </w:tc>
        <w:tc>
          <w:tcPr>
            <w:tcW w:w="1148"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34109F71"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Quantum Fund ID</w:t>
            </w:r>
          </w:p>
        </w:tc>
        <w:tc>
          <w:tcPr>
            <w:tcW w:w="1148"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7CC188AA"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Quantum Donor ID</w:t>
            </w:r>
            <w:r w:rsidRPr="00AC0422">
              <w:rPr>
                <w:rFonts w:asciiTheme="minorHAnsi" w:eastAsia="Times New Roman" w:hAnsiTheme="minorHAnsi" w:cstheme="minorHAnsi"/>
                <w:color w:val="000000"/>
                <w:sz w:val="18"/>
                <w:szCs w:val="18"/>
                <w:lang w:val="en-CA"/>
              </w:rPr>
              <w:t> </w:t>
            </w:r>
          </w:p>
        </w:tc>
        <w:tc>
          <w:tcPr>
            <w:tcW w:w="1084" w:type="dxa"/>
            <w:vMerge w:val="restart"/>
            <w:tcBorders>
              <w:top w:val="single" w:sz="8" w:space="0" w:color="auto"/>
              <w:left w:val="single" w:sz="8" w:space="0" w:color="auto"/>
              <w:bottom w:val="nil"/>
              <w:right w:val="single" w:sz="8" w:space="0" w:color="auto"/>
            </w:tcBorders>
            <w:shd w:val="clear" w:color="000000" w:fill="DDEBF7"/>
            <w:vAlign w:val="center"/>
            <w:hideMark/>
          </w:tcPr>
          <w:p w14:paraId="27A4E110"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Quantum Budgetary Account Code</w:t>
            </w:r>
            <w:r w:rsidRPr="00AC0422">
              <w:rPr>
                <w:rFonts w:asciiTheme="minorHAnsi" w:eastAsia="Times New Roman" w:hAnsiTheme="minorHAnsi" w:cstheme="minorHAnsi"/>
                <w:color w:val="000000"/>
                <w:sz w:val="18"/>
                <w:szCs w:val="18"/>
                <w:lang w:val="en-CA"/>
              </w:rPr>
              <w:t> </w:t>
            </w:r>
          </w:p>
        </w:tc>
        <w:tc>
          <w:tcPr>
            <w:tcW w:w="1732" w:type="dxa"/>
            <w:vMerge w:val="restart"/>
            <w:tcBorders>
              <w:top w:val="single" w:sz="8" w:space="0" w:color="auto"/>
              <w:left w:val="single" w:sz="8" w:space="0" w:color="auto"/>
              <w:bottom w:val="nil"/>
              <w:right w:val="single" w:sz="8" w:space="0" w:color="auto"/>
            </w:tcBorders>
            <w:shd w:val="clear" w:color="000000" w:fill="DDEBF7"/>
            <w:vAlign w:val="center"/>
            <w:hideMark/>
          </w:tcPr>
          <w:p w14:paraId="7B5AEDAA"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Quantum Budget Account Description</w:t>
            </w:r>
          </w:p>
        </w:tc>
        <w:tc>
          <w:tcPr>
            <w:tcW w:w="758"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6A5C7E34"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Amount Year 1</w:t>
            </w:r>
            <w:r w:rsidRPr="00AC0422">
              <w:rPr>
                <w:rFonts w:asciiTheme="minorHAnsi" w:eastAsia="Times New Roman" w:hAnsiTheme="minorHAnsi" w:cstheme="minorHAnsi"/>
                <w:b/>
                <w:bCs/>
                <w:i/>
                <w:iCs/>
                <w:color w:val="000000"/>
                <w:sz w:val="18"/>
                <w:szCs w:val="18"/>
                <w:lang w:val="en-CA"/>
              </w:rPr>
              <w:t xml:space="preserve"> </w:t>
            </w:r>
            <w:r w:rsidRPr="00AC0422">
              <w:rPr>
                <w:rFonts w:asciiTheme="minorHAnsi" w:eastAsia="Times New Roman" w:hAnsiTheme="minorHAnsi" w:cstheme="minorHAnsi"/>
                <w:b/>
                <w:bCs/>
                <w:color w:val="000000"/>
                <w:sz w:val="18"/>
                <w:szCs w:val="18"/>
                <w:lang w:val="en-CA"/>
              </w:rPr>
              <w:t>(USD)</w:t>
            </w:r>
            <w:r w:rsidRPr="00AC0422">
              <w:rPr>
                <w:rFonts w:asciiTheme="minorHAnsi" w:eastAsia="Times New Roman" w:hAnsiTheme="minorHAnsi" w:cstheme="minorHAnsi"/>
                <w:color w:val="000000"/>
                <w:sz w:val="18"/>
                <w:szCs w:val="18"/>
                <w:lang w:val="en-CA"/>
              </w:rPr>
              <w:t> </w:t>
            </w:r>
          </w:p>
        </w:tc>
        <w:tc>
          <w:tcPr>
            <w:tcW w:w="758"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79627CDC"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Amount Year 2</w:t>
            </w:r>
            <w:r w:rsidRPr="00AC0422">
              <w:rPr>
                <w:rFonts w:asciiTheme="minorHAnsi" w:eastAsia="Times New Roman" w:hAnsiTheme="minorHAnsi" w:cstheme="minorHAnsi"/>
                <w:b/>
                <w:bCs/>
                <w:i/>
                <w:iCs/>
                <w:color w:val="000000"/>
                <w:sz w:val="18"/>
                <w:szCs w:val="18"/>
                <w:lang w:val="en-CA"/>
              </w:rPr>
              <w:t xml:space="preserve"> </w:t>
            </w:r>
            <w:r w:rsidRPr="00AC0422">
              <w:rPr>
                <w:rFonts w:asciiTheme="minorHAnsi" w:eastAsia="Times New Roman" w:hAnsiTheme="minorHAnsi" w:cstheme="minorHAnsi"/>
                <w:b/>
                <w:bCs/>
                <w:color w:val="000000"/>
                <w:sz w:val="18"/>
                <w:szCs w:val="18"/>
                <w:lang w:val="en-CA"/>
              </w:rPr>
              <w:t>(USD)</w:t>
            </w:r>
            <w:r w:rsidRPr="00AC0422">
              <w:rPr>
                <w:rFonts w:asciiTheme="minorHAnsi" w:eastAsia="Times New Roman" w:hAnsiTheme="minorHAnsi" w:cstheme="minorHAnsi"/>
                <w:color w:val="000000"/>
                <w:sz w:val="18"/>
                <w:szCs w:val="18"/>
                <w:lang w:val="en-CA"/>
              </w:rPr>
              <w:t> </w:t>
            </w:r>
          </w:p>
        </w:tc>
        <w:tc>
          <w:tcPr>
            <w:tcW w:w="758"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525CFA4F"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Amount Year 3 (USD)</w:t>
            </w:r>
          </w:p>
        </w:tc>
        <w:tc>
          <w:tcPr>
            <w:tcW w:w="758"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53FB823D"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Amount Year 4 (USD)</w:t>
            </w:r>
          </w:p>
        </w:tc>
        <w:tc>
          <w:tcPr>
            <w:tcW w:w="980"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72C03A52"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Total (USD)</w:t>
            </w:r>
            <w:r w:rsidRPr="00AC0422">
              <w:rPr>
                <w:rFonts w:asciiTheme="minorHAnsi" w:eastAsia="Times New Roman" w:hAnsiTheme="minorHAnsi" w:cstheme="minorHAnsi"/>
                <w:color w:val="000000"/>
                <w:sz w:val="18"/>
                <w:szCs w:val="18"/>
                <w:lang w:val="en-CA"/>
              </w:rPr>
              <w:t> </w:t>
            </w:r>
          </w:p>
        </w:tc>
        <w:tc>
          <w:tcPr>
            <w:tcW w:w="647" w:type="dxa"/>
            <w:vMerge w:val="restart"/>
            <w:tcBorders>
              <w:top w:val="single" w:sz="8" w:space="0" w:color="auto"/>
              <w:left w:val="single" w:sz="8" w:space="0" w:color="auto"/>
              <w:bottom w:val="single" w:sz="8" w:space="0" w:color="000000"/>
              <w:right w:val="single" w:sz="8" w:space="0" w:color="auto"/>
            </w:tcBorders>
            <w:shd w:val="clear" w:color="000000" w:fill="DDEBF7"/>
            <w:vAlign w:val="center"/>
            <w:hideMark/>
          </w:tcPr>
          <w:p w14:paraId="538A45A9"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Budget Note</w:t>
            </w:r>
          </w:p>
        </w:tc>
      </w:tr>
      <w:tr w:rsidR="00086132" w:rsidRPr="00AC0422" w14:paraId="2375ED7E" w14:textId="77777777" w:rsidTr="00086132">
        <w:trPr>
          <w:trHeight w:val="279"/>
        </w:trPr>
        <w:tc>
          <w:tcPr>
            <w:tcW w:w="1772" w:type="dxa"/>
            <w:vMerge/>
            <w:tcBorders>
              <w:top w:val="single" w:sz="8" w:space="0" w:color="auto"/>
              <w:left w:val="single" w:sz="8" w:space="0" w:color="auto"/>
              <w:bottom w:val="nil"/>
              <w:right w:val="single" w:sz="8" w:space="0" w:color="auto"/>
            </w:tcBorders>
            <w:vAlign w:val="center"/>
            <w:hideMark/>
          </w:tcPr>
          <w:p w14:paraId="4DEEE9C2"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1456" w:type="dxa"/>
            <w:tcBorders>
              <w:top w:val="nil"/>
              <w:left w:val="nil"/>
              <w:bottom w:val="single" w:sz="8" w:space="0" w:color="000000"/>
              <w:right w:val="single" w:sz="8" w:space="0" w:color="auto"/>
            </w:tcBorders>
            <w:shd w:val="clear" w:color="000000" w:fill="DDEBF7"/>
            <w:vAlign w:val="center"/>
            <w:hideMark/>
          </w:tcPr>
          <w:p w14:paraId="618A8507" w14:textId="77777777" w:rsidR="00086132" w:rsidRPr="00AC0422" w:rsidRDefault="00086132" w:rsidP="00086132">
            <w:pPr>
              <w:spacing w:after="0"/>
              <w:jc w:val="center"/>
              <w:rPr>
                <w:rFonts w:asciiTheme="minorHAnsi" w:eastAsia="Times New Roman" w:hAnsiTheme="minorHAnsi" w:cstheme="minorHAnsi"/>
                <w:b/>
                <w:bCs/>
                <w:color w:val="000000"/>
                <w:sz w:val="18"/>
                <w:szCs w:val="18"/>
                <w:lang w:val="en-CA"/>
              </w:rPr>
            </w:pPr>
            <w:r w:rsidRPr="00AC0422">
              <w:rPr>
                <w:rFonts w:asciiTheme="minorHAnsi" w:eastAsia="Times New Roman" w:hAnsiTheme="minorHAnsi" w:cstheme="minorHAnsi"/>
                <w:b/>
                <w:bCs/>
                <w:color w:val="000000"/>
                <w:sz w:val="18"/>
                <w:szCs w:val="18"/>
                <w:lang w:val="en-CA"/>
              </w:rPr>
              <w:t>(GCF Output)</w:t>
            </w:r>
          </w:p>
        </w:tc>
        <w:tc>
          <w:tcPr>
            <w:tcW w:w="1151" w:type="dxa"/>
            <w:vMerge/>
            <w:tcBorders>
              <w:top w:val="single" w:sz="8" w:space="0" w:color="auto"/>
              <w:left w:val="single" w:sz="8" w:space="0" w:color="auto"/>
              <w:bottom w:val="single" w:sz="8" w:space="0" w:color="000000"/>
              <w:right w:val="single" w:sz="8" w:space="0" w:color="auto"/>
            </w:tcBorders>
            <w:vAlign w:val="center"/>
            <w:hideMark/>
          </w:tcPr>
          <w:p w14:paraId="1A1E374F"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1148" w:type="dxa"/>
            <w:vMerge/>
            <w:tcBorders>
              <w:top w:val="single" w:sz="8" w:space="0" w:color="auto"/>
              <w:left w:val="single" w:sz="8" w:space="0" w:color="auto"/>
              <w:bottom w:val="single" w:sz="8" w:space="0" w:color="000000"/>
              <w:right w:val="single" w:sz="8" w:space="0" w:color="auto"/>
            </w:tcBorders>
            <w:vAlign w:val="center"/>
            <w:hideMark/>
          </w:tcPr>
          <w:p w14:paraId="143C9C68"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1148" w:type="dxa"/>
            <w:vMerge/>
            <w:tcBorders>
              <w:top w:val="single" w:sz="8" w:space="0" w:color="auto"/>
              <w:left w:val="single" w:sz="8" w:space="0" w:color="auto"/>
              <w:bottom w:val="single" w:sz="8" w:space="0" w:color="000000"/>
              <w:right w:val="single" w:sz="8" w:space="0" w:color="auto"/>
            </w:tcBorders>
            <w:vAlign w:val="center"/>
            <w:hideMark/>
          </w:tcPr>
          <w:p w14:paraId="7448F8ED"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1084" w:type="dxa"/>
            <w:vMerge/>
            <w:tcBorders>
              <w:top w:val="single" w:sz="8" w:space="0" w:color="auto"/>
              <w:left w:val="single" w:sz="8" w:space="0" w:color="auto"/>
              <w:bottom w:val="nil"/>
              <w:right w:val="single" w:sz="8" w:space="0" w:color="auto"/>
            </w:tcBorders>
            <w:vAlign w:val="center"/>
            <w:hideMark/>
          </w:tcPr>
          <w:p w14:paraId="2E829050"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1732" w:type="dxa"/>
            <w:vMerge/>
            <w:tcBorders>
              <w:top w:val="single" w:sz="8" w:space="0" w:color="auto"/>
              <w:left w:val="single" w:sz="8" w:space="0" w:color="auto"/>
              <w:bottom w:val="nil"/>
              <w:right w:val="single" w:sz="8" w:space="0" w:color="auto"/>
            </w:tcBorders>
            <w:vAlign w:val="center"/>
            <w:hideMark/>
          </w:tcPr>
          <w:p w14:paraId="61E71C69"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758" w:type="dxa"/>
            <w:vMerge/>
            <w:tcBorders>
              <w:top w:val="single" w:sz="8" w:space="0" w:color="auto"/>
              <w:left w:val="single" w:sz="8" w:space="0" w:color="auto"/>
              <w:bottom w:val="single" w:sz="8" w:space="0" w:color="000000"/>
              <w:right w:val="single" w:sz="8" w:space="0" w:color="auto"/>
            </w:tcBorders>
            <w:vAlign w:val="center"/>
            <w:hideMark/>
          </w:tcPr>
          <w:p w14:paraId="7A39CFB1"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758" w:type="dxa"/>
            <w:vMerge/>
            <w:tcBorders>
              <w:top w:val="single" w:sz="8" w:space="0" w:color="auto"/>
              <w:left w:val="single" w:sz="8" w:space="0" w:color="auto"/>
              <w:bottom w:val="single" w:sz="8" w:space="0" w:color="000000"/>
              <w:right w:val="single" w:sz="8" w:space="0" w:color="auto"/>
            </w:tcBorders>
            <w:vAlign w:val="center"/>
            <w:hideMark/>
          </w:tcPr>
          <w:p w14:paraId="16E1BA8E"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758" w:type="dxa"/>
            <w:vMerge/>
            <w:tcBorders>
              <w:top w:val="single" w:sz="8" w:space="0" w:color="auto"/>
              <w:left w:val="single" w:sz="8" w:space="0" w:color="auto"/>
              <w:bottom w:val="single" w:sz="8" w:space="0" w:color="000000"/>
              <w:right w:val="single" w:sz="8" w:space="0" w:color="auto"/>
            </w:tcBorders>
            <w:vAlign w:val="center"/>
            <w:hideMark/>
          </w:tcPr>
          <w:p w14:paraId="6CBE99CC"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758" w:type="dxa"/>
            <w:vMerge/>
            <w:tcBorders>
              <w:top w:val="single" w:sz="8" w:space="0" w:color="auto"/>
              <w:left w:val="single" w:sz="8" w:space="0" w:color="auto"/>
              <w:bottom w:val="single" w:sz="8" w:space="0" w:color="000000"/>
              <w:right w:val="single" w:sz="8" w:space="0" w:color="auto"/>
            </w:tcBorders>
            <w:vAlign w:val="center"/>
            <w:hideMark/>
          </w:tcPr>
          <w:p w14:paraId="671F1A7F"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980" w:type="dxa"/>
            <w:vMerge/>
            <w:tcBorders>
              <w:top w:val="single" w:sz="8" w:space="0" w:color="auto"/>
              <w:left w:val="single" w:sz="8" w:space="0" w:color="auto"/>
              <w:bottom w:val="single" w:sz="8" w:space="0" w:color="000000"/>
              <w:right w:val="single" w:sz="8" w:space="0" w:color="auto"/>
            </w:tcBorders>
            <w:vAlign w:val="center"/>
            <w:hideMark/>
          </w:tcPr>
          <w:p w14:paraId="2F486FDA"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c>
          <w:tcPr>
            <w:tcW w:w="647" w:type="dxa"/>
            <w:vMerge/>
            <w:tcBorders>
              <w:top w:val="single" w:sz="8" w:space="0" w:color="auto"/>
              <w:left w:val="single" w:sz="8" w:space="0" w:color="auto"/>
              <w:bottom w:val="single" w:sz="8" w:space="0" w:color="000000"/>
              <w:right w:val="single" w:sz="8" w:space="0" w:color="auto"/>
            </w:tcBorders>
            <w:vAlign w:val="center"/>
            <w:hideMark/>
          </w:tcPr>
          <w:p w14:paraId="08F7BF63" w14:textId="77777777" w:rsidR="00086132" w:rsidRPr="00AC0422" w:rsidRDefault="00086132" w:rsidP="00086132">
            <w:pPr>
              <w:spacing w:after="0"/>
              <w:jc w:val="left"/>
              <w:rPr>
                <w:rFonts w:asciiTheme="minorHAnsi" w:eastAsia="Times New Roman" w:hAnsiTheme="minorHAnsi" w:cstheme="minorHAnsi"/>
                <w:b/>
                <w:bCs/>
                <w:color w:val="000000"/>
                <w:sz w:val="18"/>
                <w:szCs w:val="18"/>
                <w:lang w:val="en-CA"/>
              </w:rPr>
            </w:pPr>
          </w:p>
        </w:tc>
      </w:tr>
      <w:tr w:rsidR="00086132" w:rsidRPr="00AC0422" w14:paraId="3F54B22B" w14:textId="77777777" w:rsidTr="00086132">
        <w:trPr>
          <w:trHeight w:val="487"/>
        </w:trPr>
        <w:tc>
          <w:tcPr>
            <w:tcW w:w="1772" w:type="dxa"/>
            <w:vMerge w:val="restart"/>
            <w:tcBorders>
              <w:top w:val="nil"/>
              <w:left w:val="nil"/>
              <w:bottom w:val="nil"/>
              <w:right w:val="nil"/>
            </w:tcBorders>
            <w:shd w:val="clear" w:color="000000" w:fill="CEDBE6"/>
            <w:vAlign w:val="center"/>
            <w:hideMark/>
          </w:tcPr>
          <w:p w14:paraId="7E24BAE9" w14:textId="77777777" w:rsidR="00086132" w:rsidRPr="00AC0422" w:rsidRDefault="00086132" w:rsidP="00086132">
            <w:pPr>
              <w:spacing w:after="0"/>
              <w:jc w:val="center"/>
              <w:rPr>
                <w:rFonts w:asciiTheme="minorHAnsi" w:eastAsia="Times New Roman" w:hAnsiTheme="minorHAnsi" w:cstheme="minorHAnsi"/>
                <w:b/>
                <w:bCs/>
                <w:sz w:val="16"/>
                <w:szCs w:val="16"/>
                <w:lang w:val="en-CA"/>
              </w:rPr>
            </w:pPr>
            <w:r w:rsidRPr="00AC0422">
              <w:rPr>
                <w:rFonts w:asciiTheme="minorHAnsi" w:eastAsia="Times New Roman" w:hAnsiTheme="minorHAnsi" w:cstheme="minorHAnsi"/>
                <w:b/>
                <w:bCs/>
                <w:sz w:val="16"/>
                <w:szCs w:val="16"/>
                <w:lang w:val="en-CA"/>
              </w:rPr>
              <w:t>Outcome 3.1: Adaptation planning governance and institutional coordination strengthened</w:t>
            </w:r>
          </w:p>
        </w:tc>
        <w:tc>
          <w:tcPr>
            <w:tcW w:w="1456" w:type="dxa"/>
            <w:vMerge w:val="restart"/>
            <w:tcBorders>
              <w:top w:val="single" w:sz="4" w:space="0" w:color="auto"/>
              <w:left w:val="single" w:sz="4" w:space="0" w:color="auto"/>
              <w:bottom w:val="nil"/>
              <w:right w:val="single" w:sz="4" w:space="0" w:color="auto"/>
            </w:tcBorders>
            <w:shd w:val="clear" w:color="auto" w:fill="auto"/>
            <w:vAlign w:val="center"/>
            <w:hideMark/>
          </w:tcPr>
          <w:p w14:paraId="62236910"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Output 3.1.1 National, sub-national and/or sectoral adaptation plans developed or updated</w:t>
            </w:r>
          </w:p>
        </w:tc>
        <w:tc>
          <w:tcPr>
            <w:tcW w:w="1151" w:type="dxa"/>
            <w:vMerge w:val="restart"/>
            <w:tcBorders>
              <w:top w:val="nil"/>
              <w:left w:val="single" w:sz="4" w:space="0" w:color="auto"/>
              <w:bottom w:val="nil"/>
              <w:right w:val="single" w:sz="4" w:space="0" w:color="auto"/>
            </w:tcBorders>
            <w:shd w:val="clear" w:color="auto" w:fill="auto"/>
            <w:vAlign w:val="center"/>
            <w:hideMark/>
          </w:tcPr>
          <w:p w14:paraId="038284BA"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UNDP</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412A74FD"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66001</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14D6E834"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12526</w:t>
            </w:r>
          </w:p>
        </w:tc>
        <w:tc>
          <w:tcPr>
            <w:tcW w:w="1084" w:type="dxa"/>
            <w:tcBorders>
              <w:top w:val="single" w:sz="4" w:space="0" w:color="auto"/>
              <w:left w:val="nil"/>
              <w:bottom w:val="single" w:sz="4" w:space="0" w:color="auto"/>
              <w:right w:val="single" w:sz="4" w:space="0" w:color="auto"/>
            </w:tcBorders>
            <w:shd w:val="clear" w:color="auto" w:fill="auto"/>
            <w:vAlign w:val="center"/>
            <w:hideMark/>
          </w:tcPr>
          <w:p w14:paraId="1396C1A6"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71200</w:t>
            </w:r>
          </w:p>
        </w:tc>
        <w:tc>
          <w:tcPr>
            <w:tcW w:w="1732" w:type="dxa"/>
            <w:tcBorders>
              <w:top w:val="single" w:sz="4" w:space="0" w:color="auto"/>
              <w:left w:val="nil"/>
              <w:bottom w:val="single" w:sz="4" w:space="0" w:color="auto"/>
              <w:right w:val="single" w:sz="4" w:space="0" w:color="auto"/>
            </w:tcBorders>
            <w:shd w:val="clear" w:color="auto" w:fill="auto"/>
            <w:vAlign w:val="center"/>
            <w:hideMark/>
          </w:tcPr>
          <w:p w14:paraId="198FBDF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International</w:t>
            </w:r>
          </w:p>
        </w:tc>
        <w:tc>
          <w:tcPr>
            <w:tcW w:w="758" w:type="dxa"/>
            <w:tcBorders>
              <w:top w:val="single" w:sz="4" w:space="0" w:color="auto"/>
              <w:left w:val="nil"/>
              <w:bottom w:val="single" w:sz="4" w:space="0" w:color="auto"/>
              <w:right w:val="single" w:sz="4" w:space="0" w:color="auto"/>
            </w:tcBorders>
            <w:shd w:val="clear" w:color="auto" w:fill="auto"/>
            <w:noWrap/>
            <w:vAlign w:val="center"/>
            <w:hideMark/>
          </w:tcPr>
          <w:p w14:paraId="3A77A391"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16,850.00 </w:t>
            </w:r>
          </w:p>
        </w:tc>
        <w:tc>
          <w:tcPr>
            <w:tcW w:w="758" w:type="dxa"/>
            <w:tcBorders>
              <w:top w:val="single" w:sz="4" w:space="0" w:color="auto"/>
              <w:left w:val="nil"/>
              <w:bottom w:val="single" w:sz="4" w:space="0" w:color="auto"/>
              <w:right w:val="single" w:sz="4" w:space="0" w:color="auto"/>
            </w:tcBorders>
            <w:shd w:val="clear" w:color="auto" w:fill="auto"/>
            <w:noWrap/>
            <w:vAlign w:val="center"/>
            <w:hideMark/>
          </w:tcPr>
          <w:p w14:paraId="1ACACEA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67,400.00 </w:t>
            </w:r>
          </w:p>
        </w:tc>
        <w:tc>
          <w:tcPr>
            <w:tcW w:w="758" w:type="dxa"/>
            <w:tcBorders>
              <w:top w:val="single" w:sz="4" w:space="0" w:color="auto"/>
              <w:left w:val="nil"/>
              <w:bottom w:val="single" w:sz="4" w:space="0" w:color="auto"/>
              <w:right w:val="single" w:sz="4" w:space="0" w:color="auto"/>
            </w:tcBorders>
            <w:shd w:val="clear" w:color="auto" w:fill="auto"/>
            <w:noWrap/>
            <w:vAlign w:val="center"/>
            <w:hideMark/>
          </w:tcPr>
          <w:p w14:paraId="71671331"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67,400.00 </w:t>
            </w:r>
          </w:p>
        </w:tc>
        <w:tc>
          <w:tcPr>
            <w:tcW w:w="758" w:type="dxa"/>
            <w:tcBorders>
              <w:top w:val="nil"/>
              <w:left w:val="nil"/>
              <w:bottom w:val="single" w:sz="4" w:space="0" w:color="auto"/>
              <w:right w:val="single" w:sz="4" w:space="0" w:color="auto"/>
            </w:tcBorders>
            <w:shd w:val="clear" w:color="auto" w:fill="auto"/>
            <w:noWrap/>
            <w:vAlign w:val="center"/>
            <w:hideMark/>
          </w:tcPr>
          <w:p w14:paraId="1A582AED"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16,850.00 </w:t>
            </w:r>
          </w:p>
        </w:tc>
        <w:tc>
          <w:tcPr>
            <w:tcW w:w="980" w:type="dxa"/>
            <w:tcBorders>
              <w:top w:val="nil"/>
              <w:left w:val="nil"/>
              <w:bottom w:val="single" w:sz="4" w:space="0" w:color="auto"/>
              <w:right w:val="single" w:sz="4" w:space="0" w:color="auto"/>
            </w:tcBorders>
            <w:shd w:val="clear" w:color="auto" w:fill="auto"/>
            <w:noWrap/>
            <w:vAlign w:val="center"/>
            <w:hideMark/>
          </w:tcPr>
          <w:p w14:paraId="43737DC5"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168,500.00 </w:t>
            </w:r>
          </w:p>
        </w:tc>
        <w:tc>
          <w:tcPr>
            <w:tcW w:w="647" w:type="dxa"/>
            <w:tcBorders>
              <w:top w:val="nil"/>
              <w:left w:val="nil"/>
              <w:bottom w:val="single" w:sz="4" w:space="0" w:color="auto"/>
              <w:right w:val="single" w:sz="4" w:space="0" w:color="auto"/>
            </w:tcBorders>
            <w:shd w:val="clear" w:color="auto" w:fill="auto"/>
            <w:vAlign w:val="center"/>
            <w:hideMark/>
          </w:tcPr>
          <w:p w14:paraId="40ACC6D5"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w:t>
            </w:r>
          </w:p>
        </w:tc>
      </w:tr>
      <w:tr w:rsidR="00086132" w:rsidRPr="00AC0422" w14:paraId="4A262749" w14:textId="77777777" w:rsidTr="00086132">
        <w:trPr>
          <w:trHeight w:val="487"/>
        </w:trPr>
        <w:tc>
          <w:tcPr>
            <w:tcW w:w="1772" w:type="dxa"/>
            <w:vMerge/>
            <w:tcBorders>
              <w:top w:val="nil"/>
              <w:left w:val="nil"/>
              <w:bottom w:val="nil"/>
              <w:right w:val="nil"/>
            </w:tcBorders>
            <w:vAlign w:val="center"/>
            <w:hideMark/>
          </w:tcPr>
          <w:p w14:paraId="2F43FED4"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single" w:sz="4" w:space="0" w:color="auto"/>
              <w:left w:val="single" w:sz="4" w:space="0" w:color="auto"/>
              <w:bottom w:val="nil"/>
              <w:right w:val="single" w:sz="4" w:space="0" w:color="auto"/>
            </w:tcBorders>
            <w:vAlign w:val="center"/>
            <w:hideMark/>
          </w:tcPr>
          <w:p w14:paraId="5E93D15F"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67D418D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4ECA6040"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44DB5729"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2DAB868E"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single" w:sz="4" w:space="0" w:color="auto"/>
              <w:right w:val="single" w:sz="4" w:space="0" w:color="auto"/>
            </w:tcBorders>
            <w:shd w:val="clear" w:color="auto" w:fill="auto"/>
            <w:vAlign w:val="center"/>
            <w:hideMark/>
          </w:tcPr>
          <w:p w14:paraId="2855B41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nil"/>
              <w:left w:val="nil"/>
              <w:bottom w:val="single" w:sz="4" w:space="0" w:color="auto"/>
              <w:right w:val="single" w:sz="4" w:space="0" w:color="auto"/>
            </w:tcBorders>
            <w:shd w:val="clear" w:color="auto" w:fill="auto"/>
            <w:noWrap/>
            <w:vAlign w:val="center"/>
            <w:hideMark/>
          </w:tcPr>
          <w:p w14:paraId="7AEA297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12,980.00 </w:t>
            </w:r>
          </w:p>
        </w:tc>
        <w:tc>
          <w:tcPr>
            <w:tcW w:w="758" w:type="dxa"/>
            <w:tcBorders>
              <w:top w:val="nil"/>
              <w:left w:val="nil"/>
              <w:bottom w:val="single" w:sz="4" w:space="0" w:color="auto"/>
              <w:right w:val="single" w:sz="4" w:space="0" w:color="auto"/>
            </w:tcBorders>
            <w:shd w:val="clear" w:color="auto" w:fill="auto"/>
            <w:noWrap/>
            <w:vAlign w:val="center"/>
            <w:hideMark/>
          </w:tcPr>
          <w:p w14:paraId="0445E85E"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51,920.00 </w:t>
            </w:r>
          </w:p>
        </w:tc>
        <w:tc>
          <w:tcPr>
            <w:tcW w:w="758" w:type="dxa"/>
            <w:tcBorders>
              <w:top w:val="nil"/>
              <w:left w:val="nil"/>
              <w:bottom w:val="single" w:sz="4" w:space="0" w:color="auto"/>
              <w:right w:val="single" w:sz="4" w:space="0" w:color="auto"/>
            </w:tcBorders>
            <w:shd w:val="clear" w:color="auto" w:fill="auto"/>
            <w:noWrap/>
            <w:vAlign w:val="center"/>
            <w:hideMark/>
          </w:tcPr>
          <w:p w14:paraId="08F016B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51,920.00 </w:t>
            </w:r>
          </w:p>
        </w:tc>
        <w:tc>
          <w:tcPr>
            <w:tcW w:w="758" w:type="dxa"/>
            <w:tcBorders>
              <w:top w:val="nil"/>
              <w:left w:val="nil"/>
              <w:bottom w:val="single" w:sz="4" w:space="0" w:color="auto"/>
              <w:right w:val="single" w:sz="4" w:space="0" w:color="auto"/>
            </w:tcBorders>
            <w:shd w:val="clear" w:color="auto" w:fill="auto"/>
            <w:noWrap/>
            <w:vAlign w:val="center"/>
            <w:hideMark/>
          </w:tcPr>
          <w:p w14:paraId="7DA4700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12,980.00 </w:t>
            </w:r>
          </w:p>
        </w:tc>
        <w:tc>
          <w:tcPr>
            <w:tcW w:w="980" w:type="dxa"/>
            <w:tcBorders>
              <w:top w:val="nil"/>
              <w:left w:val="nil"/>
              <w:bottom w:val="single" w:sz="4" w:space="0" w:color="auto"/>
              <w:right w:val="single" w:sz="4" w:space="0" w:color="auto"/>
            </w:tcBorders>
            <w:shd w:val="clear" w:color="auto" w:fill="auto"/>
            <w:noWrap/>
            <w:vAlign w:val="center"/>
            <w:hideMark/>
          </w:tcPr>
          <w:p w14:paraId="2869A411"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129,800.00 </w:t>
            </w:r>
          </w:p>
        </w:tc>
        <w:tc>
          <w:tcPr>
            <w:tcW w:w="647" w:type="dxa"/>
            <w:tcBorders>
              <w:top w:val="nil"/>
              <w:left w:val="nil"/>
              <w:bottom w:val="single" w:sz="4" w:space="0" w:color="auto"/>
              <w:right w:val="single" w:sz="4" w:space="0" w:color="auto"/>
            </w:tcBorders>
            <w:shd w:val="clear" w:color="auto" w:fill="auto"/>
            <w:vAlign w:val="center"/>
            <w:hideMark/>
          </w:tcPr>
          <w:p w14:paraId="77C7E196"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B</w:t>
            </w:r>
          </w:p>
        </w:tc>
      </w:tr>
      <w:tr w:rsidR="00086132" w:rsidRPr="00AC0422" w14:paraId="53950842" w14:textId="77777777" w:rsidTr="00086132">
        <w:trPr>
          <w:trHeight w:val="304"/>
        </w:trPr>
        <w:tc>
          <w:tcPr>
            <w:tcW w:w="1772" w:type="dxa"/>
            <w:vMerge/>
            <w:tcBorders>
              <w:top w:val="nil"/>
              <w:left w:val="nil"/>
              <w:bottom w:val="nil"/>
              <w:right w:val="nil"/>
            </w:tcBorders>
            <w:vAlign w:val="center"/>
            <w:hideMark/>
          </w:tcPr>
          <w:p w14:paraId="34BDF5A9"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single" w:sz="4" w:space="0" w:color="auto"/>
              <w:left w:val="single" w:sz="4" w:space="0" w:color="auto"/>
              <w:bottom w:val="nil"/>
              <w:right w:val="single" w:sz="4" w:space="0" w:color="auto"/>
            </w:tcBorders>
            <w:vAlign w:val="center"/>
            <w:hideMark/>
          </w:tcPr>
          <w:p w14:paraId="76861B9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11DCC5AD"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5D98274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3127E02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61CF20B1"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75700</w:t>
            </w:r>
          </w:p>
        </w:tc>
        <w:tc>
          <w:tcPr>
            <w:tcW w:w="1732" w:type="dxa"/>
            <w:tcBorders>
              <w:top w:val="nil"/>
              <w:left w:val="nil"/>
              <w:bottom w:val="single" w:sz="4" w:space="0" w:color="auto"/>
              <w:right w:val="single" w:sz="4" w:space="0" w:color="auto"/>
            </w:tcBorders>
            <w:shd w:val="clear" w:color="auto" w:fill="auto"/>
            <w:vAlign w:val="center"/>
            <w:hideMark/>
          </w:tcPr>
          <w:p w14:paraId="62260F0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Workshop/Training </w:t>
            </w:r>
          </w:p>
        </w:tc>
        <w:tc>
          <w:tcPr>
            <w:tcW w:w="758" w:type="dxa"/>
            <w:tcBorders>
              <w:top w:val="nil"/>
              <w:left w:val="nil"/>
              <w:bottom w:val="single" w:sz="4" w:space="0" w:color="auto"/>
              <w:right w:val="single" w:sz="4" w:space="0" w:color="auto"/>
            </w:tcBorders>
            <w:shd w:val="clear" w:color="auto" w:fill="auto"/>
            <w:noWrap/>
            <w:vAlign w:val="center"/>
            <w:hideMark/>
          </w:tcPr>
          <w:p w14:paraId="691C3D03"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1,500.00 </w:t>
            </w:r>
          </w:p>
        </w:tc>
        <w:tc>
          <w:tcPr>
            <w:tcW w:w="758" w:type="dxa"/>
            <w:tcBorders>
              <w:top w:val="nil"/>
              <w:left w:val="nil"/>
              <w:bottom w:val="single" w:sz="4" w:space="0" w:color="auto"/>
              <w:right w:val="single" w:sz="4" w:space="0" w:color="auto"/>
            </w:tcBorders>
            <w:shd w:val="clear" w:color="auto" w:fill="auto"/>
            <w:noWrap/>
            <w:vAlign w:val="center"/>
            <w:hideMark/>
          </w:tcPr>
          <w:p w14:paraId="7B5D8D61"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6,000.00 </w:t>
            </w:r>
          </w:p>
        </w:tc>
        <w:tc>
          <w:tcPr>
            <w:tcW w:w="758" w:type="dxa"/>
            <w:tcBorders>
              <w:top w:val="nil"/>
              <w:left w:val="nil"/>
              <w:bottom w:val="single" w:sz="4" w:space="0" w:color="auto"/>
              <w:right w:val="single" w:sz="4" w:space="0" w:color="auto"/>
            </w:tcBorders>
            <w:shd w:val="clear" w:color="auto" w:fill="auto"/>
            <w:noWrap/>
            <w:vAlign w:val="center"/>
            <w:hideMark/>
          </w:tcPr>
          <w:p w14:paraId="4F05B4A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6,000.00 </w:t>
            </w:r>
          </w:p>
        </w:tc>
        <w:tc>
          <w:tcPr>
            <w:tcW w:w="758" w:type="dxa"/>
            <w:tcBorders>
              <w:top w:val="nil"/>
              <w:left w:val="nil"/>
              <w:bottom w:val="single" w:sz="4" w:space="0" w:color="auto"/>
              <w:right w:val="single" w:sz="4" w:space="0" w:color="auto"/>
            </w:tcBorders>
            <w:shd w:val="clear" w:color="auto" w:fill="auto"/>
            <w:noWrap/>
            <w:vAlign w:val="center"/>
            <w:hideMark/>
          </w:tcPr>
          <w:p w14:paraId="28F0529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 </w:t>
            </w:r>
          </w:p>
        </w:tc>
        <w:tc>
          <w:tcPr>
            <w:tcW w:w="980" w:type="dxa"/>
            <w:tcBorders>
              <w:top w:val="nil"/>
              <w:left w:val="nil"/>
              <w:bottom w:val="single" w:sz="4" w:space="0" w:color="auto"/>
              <w:right w:val="single" w:sz="4" w:space="0" w:color="auto"/>
            </w:tcBorders>
            <w:shd w:val="clear" w:color="auto" w:fill="auto"/>
            <w:noWrap/>
            <w:vAlign w:val="center"/>
            <w:hideMark/>
          </w:tcPr>
          <w:p w14:paraId="269D6896"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15,000.00 </w:t>
            </w:r>
          </w:p>
        </w:tc>
        <w:tc>
          <w:tcPr>
            <w:tcW w:w="647" w:type="dxa"/>
            <w:tcBorders>
              <w:top w:val="nil"/>
              <w:left w:val="nil"/>
              <w:bottom w:val="single" w:sz="4" w:space="0" w:color="auto"/>
              <w:right w:val="single" w:sz="4" w:space="0" w:color="auto"/>
            </w:tcBorders>
            <w:shd w:val="clear" w:color="auto" w:fill="auto"/>
            <w:vAlign w:val="center"/>
            <w:hideMark/>
          </w:tcPr>
          <w:p w14:paraId="7FC21463"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 G</w:t>
            </w:r>
          </w:p>
        </w:tc>
      </w:tr>
      <w:tr w:rsidR="00086132" w:rsidRPr="00AC0422" w14:paraId="3054B86F" w14:textId="77777777" w:rsidTr="00086132">
        <w:trPr>
          <w:trHeight w:val="279"/>
        </w:trPr>
        <w:tc>
          <w:tcPr>
            <w:tcW w:w="1772" w:type="dxa"/>
            <w:vMerge/>
            <w:tcBorders>
              <w:top w:val="nil"/>
              <w:left w:val="nil"/>
              <w:bottom w:val="nil"/>
              <w:right w:val="nil"/>
            </w:tcBorders>
            <w:vAlign w:val="center"/>
            <w:hideMark/>
          </w:tcPr>
          <w:p w14:paraId="176AB434"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single" w:sz="4" w:space="0" w:color="auto"/>
              <w:left w:val="single" w:sz="4" w:space="0" w:color="auto"/>
              <w:bottom w:val="nil"/>
              <w:right w:val="single" w:sz="4" w:space="0" w:color="auto"/>
            </w:tcBorders>
            <w:vAlign w:val="center"/>
            <w:hideMark/>
          </w:tcPr>
          <w:p w14:paraId="738FFBC4"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75BA75F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0D4CE7B1"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5A612C1E"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5CE66B4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71600</w:t>
            </w:r>
          </w:p>
        </w:tc>
        <w:tc>
          <w:tcPr>
            <w:tcW w:w="1732" w:type="dxa"/>
            <w:tcBorders>
              <w:top w:val="nil"/>
              <w:left w:val="nil"/>
              <w:bottom w:val="single" w:sz="4" w:space="0" w:color="auto"/>
              <w:right w:val="single" w:sz="4" w:space="0" w:color="auto"/>
            </w:tcBorders>
            <w:shd w:val="clear" w:color="auto" w:fill="auto"/>
            <w:vAlign w:val="center"/>
            <w:hideMark/>
          </w:tcPr>
          <w:p w14:paraId="0EAEE16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Travel – Local</w:t>
            </w:r>
          </w:p>
        </w:tc>
        <w:tc>
          <w:tcPr>
            <w:tcW w:w="758" w:type="dxa"/>
            <w:tcBorders>
              <w:top w:val="nil"/>
              <w:left w:val="nil"/>
              <w:bottom w:val="single" w:sz="4" w:space="0" w:color="auto"/>
              <w:right w:val="single" w:sz="4" w:space="0" w:color="auto"/>
            </w:tcBorders>
            <w:shd w:val="clear" w:color="auto" w:fill="auto"/>
            <w:noWrap/>
            <w:vAlign w:val="center"/>
            <w:hideMark/>
          </w:tcPr>
          <w:p w14:paraId="660A1F5B"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375.00 </w:t>
            </w:r>
          </w:p>
        </w:tc>
        <w:tc>
          <w:tcPr>
            <w:tcW w:w="758" w:type="dxa"/>
            <w:tcBorders>
              <w:top w:val="nil"/>
              <w:left w:val="nil"/>
              <w:bottom w:val="single" w:sz="4" w:space="0" w:color="auto"/>
              <w:right w:val="single" w:sz="4" w:space="0" w:color="auto"/>
            </w:tcBorders>
            <w:shd w:val="clear" w:color="auto" w:fill="auto"/>
            <w:noWrap/>
            <w:vAlign w:val="center"/>
            <w:hideMark/>
          </w:tcPr>
          <w:p w14:paraId="2D61D853"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1,500.00 </w:t>
            </w:r>
          </w:p>
        </w:tc>
        <w:tc>
          <w:tcPr>
            <w:tcW w:w="758" w:type="dxa"/>
            <w:tcBorders>
              <w:top w:val="nil"/>
              <w:left w:val="nil"/>
              <w:bottom w:val="single" w:sz="4" w:space="0" w:color="auto"/>
              <w:right w:val="single" w:sz="4" w:space="0" w:color="auto"/>
            </w:tcBorders>
            <w:shd w:val="clear" w:color="auto" w:fill="auto"/>
            <w:noWrap/>
            <w:vAlign w:val="center"/>
            <w:hideMark/>
          </w:tcPr>
          <w:p w14:paraId="1DB4C21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1,500.00 </w:t>
            </w:r>
          </w:p>
        </w:tc>
        <w:tc>
          <w:tcPr>
            <w:tcW w:w="758" w:type="dxa"/>
            <w:tcBorders>
              <w:top w:val="nil"/>
              <w:left w:val="nil"/>
              <w:bottom w:val="single" w:sz="4" w:space="0" w:color="auto"/>
              <w:right w:val="single" w:sz="4" w:space="0" w:color="auto"/>
            </w:tcBorders>
            <w:shd w:val="clear" w:color="auto" w:fill="auto"/>
            <w:noWrap/>
            <w:vAlign w:val="center"/>
            <w:hideMark/>
          </w:tcPr>
          <w:p w14:paraId="3A85DED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375.00 </w:t>
            </w:r>
          </w:p>
        </w:tc>
        <w:tc>
          <w:tcPr>
            <w:tcW w:w="980" w:type="dxa"/>
            <w:tcBorders>
              <w:top w:val="nil"/>
              <w:left w:val="nil"/>
              <w:bottom w:val="single" w:sz="4" w:space="0" w:color="auto"/>
              <w:right w:val="single" w:sz="4" w:space="0" w:color="auto"/>
            </w:tcBorders>
            <w:shd w:val="clear" w:color="auto" w:fill="auto"/>
            <w:noWrap/>
            <w:vAlign w:val="center"/>
            <w:hideMark/>
          </w:tcPr>
          <w:p w14:paraId="3CC1CD32"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3,750.00 </w:t>
            </w:r>
          </w:p>
        </w:tc>
        <w:tc>
          <w:tcPr>
            <w:tcW w:w="647" w:type="dxa"/>
            <w:tcBorders>
              <w:top w:val="nil"/>
              <w:left w:val="nil"/>
              <w:bottom w:val="single" w:sz="4" w:space="0" w:color="auto"/>
              <w:right w:val="single" w:sz="4" w:space="0" w:color="auto"/>
            </w:tcBorders>
            <w:shd w:val="clear" w:color="auto" w:fill="auto"/>
            <w:noWrap/>
            <w:vAlign w:val="center"/>
            <w:hideMark/>
          </w:tcPr>
          <w:p w14:paraId="71E9C5C3"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D </w:t>
            </w:r>
          </w:p>
        </w:tc>
      </w:tr>
      <w:tr w:rsidR="00086132" w:rsidRPr="00AC0422" w14:paraId="14A1118F" w14:textId="77777777" w:rsidTr="00086132">
        <w:trPr>
          <w:trHeight w:val="279"/>
        </w:trPr>
        <w:tc>
          <w:tcPr>
            <w:tcW w:w="1772" w:type="dxa"/>
            <w:vMerge/>
            <w:tcBorders>
              <w:top w:val="nil"/>
              <w:left w:val="nil"/>
              <w:bottom w:val="nil"/>
              <w:right w:val="nil"/>
            </w:tcBorders>
            <w:vAlign w:val="center"/>
            <w:hideMark/>
          </w:tcPr>
          <w:p w14:paraId="3D34580F"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single" w:sz="4" w:space="0" w:color="auto"/>
              <w:left w:val="single" w:sz="4" w:space="0" w:color="auto"/>
              <w:bottom w:val="nil"/>
              <w:right w:val="single" w:sz="4" w:space="0" w:color="auto"/>
            </w:tcBorders>
            <w:vAlign w:val="center"/>
            <w:hideMark/>
          </w:tcPr>
          <w:p w14:paraId="1C231A35"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09B1262B"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6C11FAF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08D5AA2E"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07EE4F1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71600</w:t>
            </w:r>
          </w:p>
        </w:tc>
        <w:tc>
          <w:tcPr>
            <w:tcW w:w="1732" w:type="dxa"/>
            <w:tcBorders>
              <w:top w:val="nil"/>
              <w:left w:val="nil"/>
              <w:bottom w:val="single" w:sz="4" w:space="0" w:color="auto"/>
              <w:right w:val="single" w:sz="4" w:space="0" w:color="auto"/>
            </w:tcBorders>
            <w:shd w:val="clear" w:color="auto" w:fill="auto"/>
            <w:vAlign w:val="center"/>
            <w:hideMark/>
          </w:tcPr>
          <w:p w14:paraId="5C5D4840"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Travel - International</w:t>
            </w:r>
          </w:p>
        </w:tc>
        <w:tc>
          <w:tcPr>
            <w:tcW w:w="758" w:type="dxa"/>
            <w:tcBorders>
              <w:top w:val="nil"/>
              <w:left w:val="nil"/>
              <w:bottom w:val="single" w:sz="4" w:space="0" w:color="auto"/>
              <w:right w:val="single" w:sz="4" w:space="0" w:color="auto"/>
            </w:tcBorders>
            <w:shd w:val="clear" w:color="auto" w:fill="auto"/>
            <w:noWrap/>
            <w:vAlign w:val="center"/>
            <w:hideMark/>
          </w:tcPr>
          <w:p w14:paraId="01A994B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1,600.00 </w:t>
            </w:r>
          </w:p>
        </w:tc>
        <w:tc>
          <w:tcPr>
            <w:tcW w:w="758" w:type="dxa"/>
            <w:tcBorders>
              <w:top w:val="nil"/>
              <w:left w:val="nil"/>
              <w:bottom w:val="single" w:sz="4" w:space="0" w:color="auto"/>
              <w:right w:val="single" w:sz="4" w:space="0" w:color="auto"/>
            </w:tcBorders>
            <w:shd w:val="clear" w:color="auto" w:fill="auto"/>
            <w:noWrap/>
            <w:vAlign w:val="center"/>
            <w:hideMark/>
          </w:tcPr>
          <w:p w14:paraId="61BC208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6,400.00 </w:t>
            </w:r>
          </w:p>
        </w:tc>
        <w:tc>
          <w:tcPr>
            <w:tcW w:w="758" w:type="dxa"/>
            <w:tcBorders>
              <w:top w:val="nil"/>
              <w:left w:val="nil"/>
              <w:bottom w:val="single" w:sz="4" w:space="0" w:color="auto"/>
              <w:right w:val="single" w:sz="4" w:space="0" w:color="auto"/>
            </w:tcBorders>
            <w:shd w:val="clear" w:color="auto" w:fill="auto"/>
            <w:noWrap/>
            <w:vAlign w:val="center"/>
            <w:hideMark/>
          </w:tcPr>
          <w:p w14:paraId="0938BD4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6,400.00 </w:t>
            </w:r>
          </w:p>
        </w:tc>
        <w:tc>
          <w:tcPr>
            <w:tcW w:w="758" w:type="dxa"/>
            <w:tcBorders>
              <w:top w:val="nil"/>
              <w:left w:val="nil"/>
              <w:bottom w:val="single" w:sz="4" w:space="0" w:color="auto"/>
              <w:right w:val="single" w:sz="4" w:space="0" w:color="auto"/>
            </w:tcBorders>
            <w:shd w:val="clear" w:color="auto" w:fill="auto"/>
            <w:noWrap/>
            <w:vAlign w:val="center"/>
            <w:hideMark/>
          </w:tcPr>
          <w:p w14:paraId="60C210C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1,600.00 </w:t>
            </w:r>
          </w:p>
        </w:tc>
        <w:tc>
          <w:tcPr>
            <w:tcW w:w="980" w:type="dxa"/>
            <w:tcBorders>
              <w:top w:val="nil"/>
              <w:left w:val="nil"/>
              <w:bottom w:val="single" w:sz="4" w:space="0" w:color="auto"/>
              <w:right w:val="single" w:sz="4" w:space="0" w:color="auto"/>
            </w:tcBorders>
            <w:shd w:val="clear" w:color="auto" w:fill="auto"/>
            <w:noWrap/>
            <w:vAlign w:val="center"/>
            <w:hideMark/>
          </w:tcPr>
          <w:p w14:paraId="10098C4A"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16,000.00 </w:t>
            </w:r>
          </w:p>
        </w:tc>
        <w:tc>
          <w:tcPr>
            <w:tcW w:w="647" w:type="dxa"/>
            <w:tcBorders>
              <w:top w:val="nil"/>
              <w:left w:val="nil"/>
              <w:bottom w:val="single" w:sz="4" w:space="0" w:color="auto"/>
              <w:right w:val="single" w:sz="4" w:space="0" w:color="auto"/>
            </w:tcBorders>
            <w:shd w:val="clear" w:color="auto" w:fill="auto"/>
            <w:noWrap/>
            <w:vAlign w:val="center"/>
            <w:hideMark/>
          </w:tcPr>
          <w:p w14:paraId="5957B3F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E </w:t>
            </w:r>
          </w:p>
        </w:tc>
      </w:tr>
      <w:tr w:rsidR="00086132" w:rsidRPr="00AC0422" w14:paraId="11A38B73" w14:textId="77777777" w:rsidTr="00086132">
        <w:trPr>
          <w:trHeight w:val="487"/>
        </w:trPr>
        <w:tc>
          <w:tcPr>
            <w:tcW w:w="1772" w:type="dxa"/>
            <w:vMerge/>
            <w:tcBorders>
              <w:top w:val="nil"/>
              <w:left w:val="nil"/>
              <w:bottom w:val="nil"/>
              <w:right w:val="nil"/>
            </w:tcBorders>
            <w:vAlign w:val="center"/>
            <w:hideMark/>
          </w:tcPr>
          <w:p w14:paraId="022B5F37"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single" w:sz="4" w:space="0" w:color="auto"/>
              <w:left w:val="single" w:sz="4" w:space="0" w:color="auto"/>
              <w:bottom w:val="nil"/>
              <w:right w:val="single" w:sz="4" w:space="0" w:color="auto"/>
            </w:tcBorders>
            <w:vAlign w:val="center"/>
            <w:hideMark/>
          </w:tcPr>
          <w:p w14:paraId="54F0604D"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24AB40F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58E83027"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5E8C1BA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400D236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72100</w:t>
            </w:r>
          </w:p>
        </w:tc>
        <w:tc>
          <w:tcPr>
            <w:tcW w:w="1732" w:type="dxa"/>
            <w:tcBorders>
              <w:top w:val="nil"/>
              <w:left w:val="nil"/>
              <w:bottom w:val="single" w:sz="4" w:space="0" w:color="auto"/>
              <w:right w:val="single" w:sz="4" w:space="0" w:color="auto"/>
            </w:tcBorders>
            <w:shd w:val="clear" w:color="auto" w:fill="auto"/>
            <w:vAlign w:val="center"/>
            <w:hideMark/>
          </w:tcPr>
          <w:p w14:paraId="531391BD"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Contractual Services – Companies/Firm</w:t>
            </w:r>
          </w:p>
        </w:tc>
        <w:tc>
          <w:tcPr>
            <w:tcW w:w="758" w:type="dxa"/>
            <w:tcBorders>
              <w:top w:val="nil"/>
              <w:left w:val="nil"/>
              <w:bottom w:val="single" w:sz="4" w:space="0" w:color="auto"/>
              <w:right w:val="single" w:sz="4" w:space="0" w:color="auto"/>
            </w:tcBorders>
            <w:shd w:val="clear" w:color="auto" w:fill="auto"/>
            <w:noWrap/>
            <w:vAlign w:val="center"/>
            <w:hideMark/>
          </w:tcPr>
          <w:p w14:paraId="30CAD46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1,000.00 </w:t>
            </w:r>
          </w:p>
        </w:tc>
        <w:tc>
          <w:tcPr>
            <w:tcW w:w="758" w:type="dxa"/>
            <w:tcBorders>
              <w:top w:val="nil"/>
              <w:left w:val="nil"/>
              <w:bottom w:val="single" w:sz="4" w:space="0" w:color="auto"/>
              <w:right w:val="single" w:sz="4" w:space="0" w:color="auto"/>
            </w:tcBorders>
            <w:shd w:val="clear" w:color="auto" w:fill="auto"/>
            <w:noWrap/>
            <w:vAlign w:val="center"/>
            <w:hideMark/>
          </w:tcPr>
          <w:p w14:paraId="70435DF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4,000.00 </w:t>
            </w:r>
          </w:p>
        </w:tc>
        <w:tc>
          <w:tcPr>
            <w:tcW w:w="758" w:type="dxa"/>
            <w:tcBorders>
              <w:top w:val="nil"/>
              <w:left w:val="nil"/>
              <w:bottom w:val="single" w:sz="4" w:space="0" w:color="auto"/>
              <w:right w:val="single" w:sz="4" w:space="0" w:color="auto"/>
            </w:tcBorders>
            <w:shd w:val="clear" w:color="auto" w:fill="auto"/>
            <w:noWrap/>
            <w:vAlign w:val="center"/>
            <w:hideMark/>
          </w:tcPr>
          <w:p w14:paraId="6378B1C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4,000.00 </w:t>
            </w:r>
          </w:p>
        </w:tc>
        <w:tc>
          <w:tcPr>
            <w:tcW w:w="758" w:type="dxa"/>
            <w:tcBorders>
              <w:top w:val="nil"/>
              <w:left w:val="nil"/>
              <w:bottom w:val="single" w:sz="4" w:space="0" w:color="auto"/>
              <w:right w:val="single" w:sz="4" w:space="0" w:color="auto"/>
            </w:tcBorders>
            <w:shd w:val="clear" w:color="auto" w:fill="auto"/>
            <w:noWrap/>
            <w:vAlign w:val="center"/>
            <w:hideMark/>
          </w:tcPr>
          <w:p w14:paraId="284A2D6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 </w:t>
            </w:r>
          </w:p>
        </w:tc>
        <w:tc>
          <w:tcPr>
            <w:tcW w:w="980" w:type="dxa"/>
            <w:tcBorders>
              <w:top w:val="nil"/>
              <w:left w:val="nil"/>
              <w:bottom w:val="single" w:sz="4" w:space="0" w:color="auto"/>
              <w:right w:val="single" w:sz="4" w:space="0" w:color="auto"/>
            </w:tcBorders>
            <w:shd w:val="clear" w:color="auto" w:fill="auto"/>
            <w:noWrap/>
            <w:vAlign w:val="center"/>
            <w:hideMark/>
          </w:tcPr>
          <w:p w14:paraId="40BC0AFA"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 </w:t>
            </w:r>
          </w:p>
        </w:tc>
        <w:tc>
          <w:tcPr>
            <w:tcW w:w="647" w:type="dxa"/>
            <w:tcBorders>
              <w:top w:val="nil"/>
              <w:left w:val="nil"/>
              <w:bottom w:val="single" w:sz="4" w:space="0" w:color="auto"/>
              <w:right w:val="single" w:sz="4" w:space="0" w:color="auto"/>
            </w:tcBorders>
            <w:shd w:val="clear" w:color="auto" w:fill="auto"/>
            <w:noWrap/>
            <w:vAlign w:val="center"/>
            <w:hideMark/>
          </w:tcPr>
          <w:p w14:paraId="08FDF4C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F </w:t>
            </w:r>
          </w:p>
        </w:tc>
      </w:tr>
      <w:tr w:rsidR="00086132" w:rsidRPr="00AC0422" w14:paraId="04659D08" w14:textId="77777777" w:rsidTr="00086132">
        <w:trPr>
          <w:trHeight w:val="325"/>
        </w:trPr>
        <w:tc>
          <w:tcPr>
            <w:tcW w:w="1772" w:type="dxa"/>
            <w:vMerge/>
            <w:tcBorders>
              <w:top w:val="nil"/>
              <w:left w:val="nil"/>
              <w:bottom w:val="nil"/>
              <w:right w:val="nil"/>
            </w:tcBorders>
            <w:vAlign w:val="center"/>
            <w:hideMark/>
          </w:tcPr>
          <w:p w14:paraId="4A296D81"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5990" w:type="dxa"/>
            <w:gridSpan w:val="5"/>
            <w:tcBorders>
              <w:top w:val="single" w:sz="8" w:space="0" w:color="auto"/>
              <w:left w:val="single" w:sz="8" w:space="0" w:color="auto"/>
              <w:bottom w:val="single" w:sz="8" w:space="0" w:color="auto"/>
              <w:right w:val="single" w:sz="4" w:space="0" w:color="auto"/>
            </w:tcBorders>
            <w:shd w:val="clear" w:color="000000" w:fill="D9D9D9"/>
            <w:vAlign w:val="center"/>
            <w:hideMark/>
          </w:tcPr>
          <w:p w14:paraId="325AC694"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Output 3.1.1</w:t>
            </w:r>
          </w:p>
        </w:tc>
        <w:tc>
          <w:tcPr>
            <w:tcW w:w="1732" w:type="dxa"/>
            <w:tcBorders>
              <w:top w:val="single" w:sz="8" w:space="0" w:color="auto"/>
              <w:left w:val="nil"/>
              <w:bottom w:val="single" w:sz="8" w:space="0" w:color="auto"/>
              <w:right w:val="single" w:sz="4" w:space="0" w:color="auto"/>
            </w:tcBorders>
            <w:shd w:val="clear" w:color="000000" w:fill="D9D9D9"/>
            <w:vAlign w:val="center"/>
            <w:hideMark/>
          </w:tcPr>
          <w:p w14:paraId="5F80F800"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71B708D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34,305.00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15DB0F1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137,220.00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0FDE263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137,220.00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586BFAEB"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34,305.00 </w:t>
            </w:r>
          </w:p>
        </w:tc>
        <w:tc>
          <w:tcPr>
            <w:tcW w:w="980" w:type="dxa"/>
            <w:tcBorders>
              <w:top w:val="single" w:sz="8" w:space="0" w:color="auto"/>
              <w:left w:val="nil"/>
              <w:bottom w:val="single" w:sz="8" w:space="0" w:color="auto"/>
              <w:right w:val="single" w:sz="4" w:space="0" w:color="auto"/>
            </w:tcBorders>
            <w:shd w:val="clear" w:color="000000" w:fill="D9D9D9"/>
            <w:noWrap/>
            <w:vAlign w:val="center"/>
            <w:hideMark/>
          </w:tcPr>
          <w:p w14:paraId="4185F066"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343,050.00 </w:t>
            </w:r>
          </w:p>
        </w:tc>
        <w:tc>
          <w:tcPr>
            <w:tcW w:w="647" w:type="dxa"/>
            <w:tcBorders>
              <w:top w:val="single" w:sz="8" w:space="0" w:color="auto"/>
              <w:left w:val="nil"/>
              <w:bottom w:val="single" w:sz="8" w:space="0" w:color="auto"/>
              <w:right w:val="single" w:sz="8" w:space="0" w:color="auto"/>
            </w:tcBorders>
            <w:shd w:val="clear" w:color="000000" w:fill="D9D9D9"/>
            <w:noWrap/>
            <w:vAlign w:val="center"/>
            <w:hideMark/>
          </w:tcPr>
          <w:p w14:paraId="4A644987"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056A2AFB" w14:textId="77777777" w:rsidTr="00086132">
        <w:trPr>
          <w:trHeight w:val="335"/>
        </w:trPr>
        <w:tc>
          <w:tcPr>
            <w:tcW w:w="1772" w:type="dxa"/>
            <w:vMerge/>
            <w:tcBorders>
              <w:top w:val="nil"/>
              <w:left w:val="nil"/>
              <w:bottom w:val="nil"/>
              <w:right w:val="nil"/>
            </w:tcBorders>
            <w:vAlign w:val="center"/>
            <w:hideMark/>
          </w:tcPr>
          <w:p w14:paraId="4945FF57"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val="restart"/>
            <w:tcBorders>
              <w:top w:val="nil"/>
              <w:left w:val="single" w:sz="4" w:space="0" w:color="auto"/>
              <w:bottom w:val="nil"/>
              <w:right w:val="single" w:sz="4" w:space="0" w:color="auto"/>
            </w:tcBorders>
            <w:shd w:val="clear" w:color="auto" w:fill="auto"/>
            <w:vAlign w:val="center"/>
            <w:hideMark/>
          </w:tcPr>
          <w:p w14:paraId="1D6198BB"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Output 3.1.3 Inter and intra institutional coordination and decision making mechanisms </w:t>
            </w:r>
            <w:r w:rsidRPr="00AC0422">
              <w:rPr>
                <w:rFonts w:asciiTheme="minorHAnsi" w:eastAsia="Times New Roman" w:hAnsiTheme="minorHAnsi" w:cstheme="minorHAnsi"/>
                <w:color w:val="000000"/>
                <w:sz w:val="16"/>
                <w:szCs w:val="16"/>
                <w:lang w:val="en-CA"/>
              </w:rPr>
              <w:lastRenderedPageBreak/>
              <w:t>established or strengthened</w:t>
            </w:r>
          </w:p>
        </w:tc>
        <w:tc>
          <w:tcPr>
            <w:tcW w:w="1151" w:type="dxa"/>
            <w:vMerge w:val="restart"/>
            <w:tcBorders>
              <w:top w:val="nil"/>
              <w:left w:val="single" w:sz="4" w:space="0" w:color="auto"/>
              <w:bottom w:val="nil"/>
              <w:right w:val="single" w:sz="4" w:space="0" w:color="auto"/>
            </w:tcBorders>
            <w:shd w:val="clear" w:color="auto" w:fill="auto"/>
            <w:vAlign w:val="center"/>
            <w:hideMark/>
          </w:tcPr>
          <w:p w14:paraId="442CF58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lastRenderedPageBreak/>
              <w:t>UNDP</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0BD433B5"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66001</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66D05D4D"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12526</w:t>
            </w:r>
          </w:p>
        </w:tc>
        <w:tc>
          <w:tcPr>
            <w:tcW w:w="1084" w:type="dxa"/>
            <w:tcBorders>
              <w:top w:val="nil"/>
              <w:left w:val="nil"/>
              <w:bottom w:val="single" w:sz="4" w:space="0" w:color="auto"/>
              <w:right w:val="single" w:sz="4" w:space="0" w:color="auto"/>
            </w:tcBorders>
            <w:shd w:val="clear" w:color="auto" w:fill="auto"/>
            <w:vAlign w:val="center"/>
            <w:hideMark/>
          </w:tcPr>
          <w:p w14:paraId="629835CD"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71200</w:t>
            </w:r>
          </w:p>
        </w:tc>
        <w:tc>
          <w:tcPr>
            <w:tcW w:w="1732" w:type="dxa"/>
            <w:tcBorders>
              <w:top w:val="nil"/>
              <w:left w:val="nil"/>
              <w:bottom w:val="single" w:sz="4" w:space="0" w:color="auto"/>
              <w:right w:val="single" w:sz="4" w:space="0" w:color="auto"/>
            </w:tcBorders>
            <w:shd w:val="clear" w:color="auto" w:fill="auto"/>
            <w:vAlign w:val="center"/>
            <w:hideMark/>
          </w:tcPr>
          <w:p w14:paraId="0454E9B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International</w:t>
            </w:r>
          </w:p>
        </w:tc>
        <w:tc>
          <w:tcPr>
            <w:tcW w:w="758" w:type="dxa"/>
            <w:tcBorders>
              <w:top w:val="nil"/>
              <w:left w:val="nil"/>
              <w:bottom w:val="single" w:sz="4" w:space="0" w:color="auto"/>
              <w:right w:val="single" w:sz="4" w:space="0" w:color="auto"/>
            </w:tcBorders>
            <w:shd w:val="clear" w:color="auto" w:fill="auto"/>
            <w:noWrap/>
            <w:vAlign w:val="center"/>
            <w:hideMark/>
          </w:tcPr>
          <w:p w14:paraId="4896EF1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10,500.00 </w:t>
            </w:r>
          </w:p>
        </w:tc>
        <w:tc>
          <w:tcPr>
            <w:tcW w:w="758" w:type="dxa"/>
            <w:tcBorders>
              <w:top w:val="nil"/>
              <w:left w:val="nil"/>
              <w:bottom w:val="single" w:sz="4" w:space="0" w:color="auto"/>
              <w:right w:val="single" w:sz="4" w:space="0" w:color="auto"/>
            </w:tcBorders>
            <w:shd w:val="clear" w:color="auto" w:fill="auto"/>
            <w:noWrap/>
            <w:vAlign w:val="center"/>
            <w:hideMark/>
          </w:tcPr>
          <w:p w14:paraId="615E33F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10,500.00 </w:t>
            </w:r>
          </w:p>
        </w:tc>
        <w:tc>
          <w:tcPr>
            <w:tcW w:w="758" w:type="dxa"/>
            <w:tcBorders>
              <w:top w:val="nil"/>
              <w:left w:val="nil"/>
              <w:bottom w:val="single" w:sz="4" w:space="0" w:color="auto"/>
              <w:right w:val="single" w:sz="4" w:space="0" w:color="auto"/>
            </w:tcBorders>
            <w:shd w:val="clear" w:color="auto" w:fill="auto"/>
            <w:noWrap/>
            <w:vAlign w:val="center"/>
            <w:hideMark/>
          </w:tcPr>
          <w:p w14:paraId="75FD88C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7,000.00 </w:t>
            </w:r>
          </w:p>
        </w:tc>
        <w:tc>
          <w:tcPr>
            <w:tcW w:w="758" w:type="dxa"/>
            <w:tcBorders>
              <w:top w:val="nil"/>
              <w:left w:val="nil"/>
              <w:bottom w:val="single" w:sz="4" w:space="0" w:color="auto"/>
              <w:right w:val="single" w:sz="4" w:space="0" w:color="auto"/>
            </w:tcBorders>
            <w:shd w:val="clear" w:color="auto" w:fill="auto"/>
            <w:noWrap/>
            <w:vAlign w:val="center"/>
            <w:hideMark/>
          </w:tcPr>
          <w:p w14:paraId="1A758E5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7,000.00 </w:t>
            </w:r>
          </w:p>
        </w:tc>
        <w:tc>
          <w:tcPr>
            <w:tcW w:w="980" w:type="dxa"/>
            <w:tcBorders>
              <w:top w:val="nil"/>
              <w:left w:val="nil"/>
              <w:bottom w:val="single" w:sz="4" w:space="0" w:color="auto"/>
              <w:right w:val="single" w:sz="4" w:space="0" w:color="auto"/>
            </w:tcBorders>
            <w:shd w:val="clear" w:color="auto" w:fill="auto"/>
            <w:noWrap/>
            <w:vAlign w:val="center"/>
            <w:hideMark/>
          </w:tcPr>
          <w:p w14:paraId="2AE27B1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35,000.00 </w:t>
            </w:r>
          </w:p>
        </w:tc>
        <w:tc>
          <w:tcPr>
            <w:tcW w:w="647" w:type="dxa"/>
            <w:tcBorders>
              <w:top w:val="nil"/>
              <w:left w:val="nil"/>
              <w:bottom w:val="single" w:sz="4" w:space="0" w:color="auto"/>
              <w:right w:val="single" w:sz="4" w:space="0" w:color="auto"/>
            </w:tcBorders>
            <w:shd w:val="clear" w:color="auto" w:fill="auto"/>
            <w:noWrap/>
            <w:vAlign w:val="center"/>
            <w:hideMark/>
          </w:tcPr>
          <w:p w14:paraId="4D99193D"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H </w:t>
            </w:r>
          </w:p>
        </w:tc>
      </w:tr>
      <w:tr w:rsidR="00086132" w:rsidRPr="00AC0422" w14:paraId="6882CAC0" w14:textId="77777777" w:rsidTr="00086132">
        <w:trPr>
          <w:trHeight w:val="335"/>
        </w:trPr>
        <w:tc>
          <w:tcPr>
            <w:tcW w:w="1772" w:type="dxa"/>
            <w:vMerge/>
            <w:tcBorders>
              <w:top w:val="nil"/>
              <w:left w:val="nil"/>
              <w:bottom w:val="nil"/>
              <w:right w:val="nil"/>
            </w:tcBorders>
            <w:vAlign w:val="center"/>
            <w:hideMark/>
          </w:tcPr>
          <w:p w14:paraId="54FF8F49"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6B28D4E2"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187BDB7D"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62A007C6"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30572E11"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1B8F14AD"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single" w:sz="4" w:space="0" w:color="auto"/>
              <w:right w:val="single" w:sz="4" w:space="0" w:color="auto"/>
            </w:tcBorders>
            <w:shd w:val="clear" w:color="auto" w:fill="auto"/>
            <w:vAlign w:val="center"/>
            <w:hideMark/>
          </w:tcPr>
          <w:p w14:paraId="5B18E3C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nil"/>
              <w:left w:val="nil"/>
              <w:bottom w:val="single" w:sz="4" w:space="0" w:color="auto"/>
              <w:right w:val="single" w:sz="4" w:space="0" w:color="auto"/>
            </w:tcBorders>
            <w:shd w:val="clear" w:color="auto" w:fill="auto"/>
            <w:noWrap/>
            <w:vAlign w:val="center"/>
            <w:hideMark/>
          </w:tcPr>
          <w:p w14:paraId="64E7F6B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34,140.00 </w:t>
            </w:r>
          </w:p>
        </w:tc>
        <w:tc>
          <w:tcPr>
            <w:tcW w:w="758" w:type="dxa"/>
            <w:tcBorders>
              <w:top w:val="nil"/>
              <w:left w:val="nil"/>
              <w:bottom w:val="single" w:sz="4" w:space="0" w:color="auto"/>
              <w:right w:val="single" w:sz="4" w:space="0" w:color="auto"/>
            </w:tcBorders>
            <w:shd w:val="clear" w:color="auto" w:fill="auto"/>
            <w:noWrap/>
            <w:vAlign w:val="center"/>
            <w:hideMark/>
          </w:tcPr>
          <w:p w14:paraId="31F133C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34,140.00 </w:t>
            </w:r>
          </w:p>
        </w:tc>
        <w:tc>
          <w:tcPr>
            <w:tcW w:w="758" w:type="dxa"/>
            <w:tcBorders>
              <w:top w:val="nil"/>
              <w:left w:val="nil"/>
              <w:bottom w:val="single" w:sz="4" w:space="0" w:color="auto"/>
              <w:right w:val="single" w:sz="4" w:space="0" w:color="auto"/>
            </w:tcBorders>
            <w:shd w:val="clear" w:color="auto" w:fill="auto"/>
            <w:noWrap/>
            <w:vAlign w:val="center"/>
            <w:hideMark/>
          </w:tcPr>
          <w:p w14:paraId="0D5D57C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22,760.00 </w:t>
            </w:r>
          </w:p>
        </w:tc>
        <w:tc>
          <w:tcPr>
            <w:tcW w:w="758" w:type="dxa"/>
            <w:tcBorders>
              <w:top w:val="nil"/>
              <w:left w:val="nil"/>
              <w:bottom w:val="single" w:sz="4" w:space="0" w:color="auto"/>
              <w:right w:val="single" w:sz="4" w:space="0" w:color="auto"/>
            </w:tcBorders>
            <w:shd w:val="clear" w:color="auto" w:fill="auto"/>
            <w:noWrap/>
            <w:vAlign w:val="center"/>
            <w:hideMark/>
          </w:tcPr>
          <w:p w14:paraId="50FE37E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22,760.00 </w:t>
            </w:r>
          </w:p>
        </w:tc>
        <w:tc>
          <w:tcPr>
            <w:tcW w:w="980" w:type="dxa"/>
            <w:tcBorders>
              <w:top w:val="nil"/>
              <w:left w:val="nil"/>
              <w:bottom w:val="single" w:sz="4" w:space="0" w:color="auto"/>
              <w:right w:val="single" w:sz="4" w:space="0" w:color="auto"/>
            </w:tcBorders>
            <w:shd w:val="clear" w:color="auto" w:fill="auto"/>
            <w:noWrap/>
            <w:vAlign w:val="center"/>
            <w:hideMark/>
          </w:tcPr>
          <w:p w14:paraId="43B27580"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113,800.00 </w:t>
            </w:r>
          </w:p>
        </w:tc>
        <w:tc>
          <w:tcPr>
            <w:tcW w:w="647" w:type="dxa"/>
            <w:tcBorders>
              <w:top w:val="nil"/>
              <w:left w:val="nil"/>
              <w:bottom w:val="single" w:sz="4" w:space="0" w:color="auto"/>
              <w:right w:val="single" w:sz="4" w:space="0" w:color="auto"/>
            </w:tcBorders>
            <w:shd w:val="clear" w:color="auto" w:fill="auto"/>
            <w:noWrap/>
            <w:vAlign w:val="center"/>
            <w:hideMark/>
          </w:tcPr>
          <w:p w14:paraId="30528345"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I </w:t>
            </w:r>
          </w:p>
        </w:tc>
      </w:tr>
      <w:tr w:rsidR="00086132" w:rsidRPr="00AC0422" w14:paraId="69BBB0BA" w14:textId="77777777" w:rsidTr="00086132">
        <w:trPr>
          <w:trHeight w:val="335"/>
        </w:trPr>
        <w:tc>
          <w:tcPr>
            <w:tcW w:w="1772" w:type="dxa"/>
            <w:vMerge/>
            <w:tcBorders>
              <w:top w:val="nil"/>
              <w:left w:val="nil"/>
              <w:bottom w:val="nil"/>
              <w:right w:val="nil"/>
            </w:tcBorders>
            <w:vAlign w:val="center"/>
            <w:hideMark/>
          </w:tcPr>
          <w:p w14:paraId="7CA91C09"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7EA581DF"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2E744AEA"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3E6AB312"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1E649EFF"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15344DDE"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75700</w:t>
            </w:r>
          </w:p>
        </w:tc>
        <w:tc>
          <w:tcPr>
            <w:tcW w:w="1732" w:type="dxa"/>
            <w:tcBorders>
              <w:top w:val="nil"/>
              <w:left w:val="nil"/>
              <w:bottom w:val="single" w:sz="4" w:space="0" w:color="auto"/>
              <w:right w:val="single" w:sz="4" w:space="0" w:color="auto"/>
            </w:tcBorders>
            <w:shd w:val="clear" w:color="auto" w:fill="auto"/>
            <w:vAlign w:val="center"/>
            <w:hideMark/>
          </w:tcPr>
          <w:p w14:paraId="129BFE1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Workshop/Training </w:t>
            </w:r>
          </w:p>
        </w:tc>
        <w:tc>
          <w:tcPr>
            <w:tcW w:w="758" w:type="dxa"/>
            <w:tcBorders>
              <w:top w:val="nil"/>
              <w:left w:val="nil"/>
              <w:bottom w:val="single" w:sz="4" w:space="0" w:color="auto"/>
              <w:right w:val="single" w:sz="4" w:space="0" w:color="auto"/>
            </w:tcBorders>
            <w:shd w:val="clear" w:color="auto" w:fill="auto"/>
            <w:noWrap/>
            <w:vAlign w:val="center"/>
            <w:hideMark/>
          </w:tcPr>
          <w:p w14:paraId="056F73ED"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15,000.00 </w:t>
            </w:r>
          </w:p>
        </w:tc>
        <w:tc>
          <w:tcPr>
            <w:tcW w:w="758" w:type="dxa"/>
            <w:tcBorders>
              <w:top w:val="nil"/>
              <w:left w:val="nil"/>
              <w:bottom w:val="single" w:sz="4" w:space="0" w:color="auto"/>
              <w:right w:val="single" w:sz="4" w:space="0" w:color="auto"/>
            </w:tcBorders>
            <w:shd w:val="clear" w:color="auto" w:fill="auto"/>
            <w:noWrap/>
            <w:vAlign w:val="center"/>
            <w:hideMark/>
          </w:tcPr>
          <w:p w14:paraId="1FBF0E1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15,000.00 </w:t>
            </w:r>
          </w:p>
        </w:tc>
        <w:tc>
          <w:tcPr>
            <w:tcW w:w="758" w:type="dxa"/>
            <w:tcBorders>
              <w:top w:val="nil"/>
              <w:left w:val="nil"/>
              <w:bottom w:val="single" w:sz="4" w:space="0" w:color="auto"/>
              <w:right w:val="single" w:sz="4" w:space="0" w:color="auto"/>
            </w:tcBorders>
            <w:shd w:val="clear" w:color="auto" w:fill="auto"/>
            <w:noWrap/>
            <w:vAlign w:val="center"/>
            <w:hideMark/>
          </w:tcPr>
          <w:p w14:paraId="7F8C244D"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 </w:t>
            </w:r>
          </w:p>
        </w:tc>
        <w:tc>
          <w:tcPr>
            <w:tcW w:w="758" w:type="dxa"/>
            <w:tcBorders>
              <w:top w:val="nil"/>
              <w:left w:val="nil"/>
              <w:bottom w:val="single" w:sz="4" w:space="0" w:color="auto"/>
              <w:right w:val="single" w:sz="4" w:space="0" w:color="auto"/>
            </w:tcBorders>
            <w:shd w:val="clear" w:color="auto" w:fill="auto"/>
            <w:noWrap/>
            <w:vAlign w:val="center"/>
            <w:hideMark/>
          </w:tcPr>
          <w:p w14:paraId="3E5994A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 </w:t>
            </w:r>
          </w:p>
        </w:tc>
        <w:tc>
          <w:tcPr>
            <w:tcW w:w="980" w:type="dxa"/>
            <w:tcBorders>
              <w:top w:val="nil"/>
              <w:left w:val="nil"/>
              <w:bottom w:val="single" w:sz="4" w:space="0" w:color="auto"/>
              <w:right w:val="single" w:sz="4" w:space="0" w:color="auto"/>
            </w:tcBorders>
            <w:shd w:val="clear" w:color="auto" w:fill="auto"/>
            <w:noWrap/>
            <w:vAlign w:val="center"/>
            <w:hideMark/>
          </w:tcPr>
          <w:p w14:paraId="0DA8E67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50,000.00 </w:t>
            </w:r>
          </w:p>
        </w:tc>
        <w:tc>
          <w:tcPr>
            <w:tcW w:w="647" w:type="dxa"/>
            <w:tcBorders>
              <w:top w:val="nil"/>
              <w:left w:val="nil"/>
              <w:bottom w:val="single" w:sz="4" w:space="0" w:color="auto"/>
              <w:right w:val="single" w:sz="4" w:space="0" w:color="auto"/>
            </w:tcBorders>
            <w:shd w:val="clear" w:color="auto" w:fill="auto"/>
            <w:noWrap/>
            <w:vAlign w:val="center"/>
            <w:hideMark/>
          </w:tcPr>
          <w:p w14:paraId="239D6F1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J, L </w:t>
            </w:r>
          </w:p>
        </w:tc>
      </w:tr>
      <w:tr w:rsidR="00086132" w:rsidRPr="00AC0422" w14:paraId="38EC3D3D" w14:textId="77777777" w:rsidTr="00086132">
        <w:trPr>
          <w:trHeight w:val="335"/>
        </w:trPr>
        <w:tc>
          <w:tcPr>
            <w:tcW w:w="1772" w:type="dxa"/>
            <w:vMerge/>
            <w:tcBorders>
              <w:top w:val="nil"/>
              <w:left w:val="nil"/>
              <w:bottom w:val="nil"/>
              <w:right w:val="nil"/>
            </w:tcBorders>
            <w:vAlign w:val="center"/>
            <w:hideMark/>
          </w:tcPr>
          <w:p w14:paraId="6077B492"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6B573F8B"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0D2DB707"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2DD340DD"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1C6C3667"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7E6FD845"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74200 </w:t>
            </w:r>
          </w:p>
        </w:tc>
        <w:tc>
          <w:tcPr>
            <w:tcW w:w="1732" w:type="dxa"/>
            <w:tcBorders>
              <w:top w:val="nil"/>
              <w:left w:val="nil"/>
              <w:bottom w:val="single" w:sz="4" w:space="0" w:color="auto"/>
              <w:right w:val="single" w:sz="4" w:space="0" w:color="auto"/>
            </w:tcBorders>
            <w:shd w:val="clear" w:color="auto" w:fill="auto"/>
            <w:vAlign w:val="center"/>
            <w:hideMark/>
          </w:tcPr>
          <w:p w14:paraId="23C8BA8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Audio Visual &amp; Printing</w:t>
            </w:r>
          </w:p>
        </w:tc>
        <w:tc>
          <w:tcPr>
            <w:tcW w:w="758" w:type="dxa"/>
            <w:tcBorders>
              <w:top w:val="nil"/>
              <w:left w:val="nil"/>
              <w:bottom w:val="single" w:sz="4" w:space="0" w:color="auto"/>
              <w:right w:val="single" w:sz="4" w:space="0" w:color="auto"/>
            </w:tcBorders>
            <w:shd w:val="clear" w:color="auto" w:fill="auto"/>
            <w:noWrap/>
            <w:vAlign w:val="center"/>
            <w:hideMark/>
          </w:tcPr>
          <w:p w14:paraId="66A81F8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2,400.00 </w:t>
            </w:r>
          </w:p>
        </w:tc>
        <w:tc>
          <w:tcPr>
            <w:tcW w:w="758" w:type="dxa"/>
            <w:tcBorders>
              <w:top w:val="nil"/>
              <w:left w:val="nil"/>
              <w:bottom w:val="single" w:sz="4" w:space="0" w:color="auto"/>
              <w:right w:val="single" w:sz="4" w:space="0" w:color="auto"/>
            </w:tcBorders>
            <w:shd w:val="clear" w:color="auto" w:fill="auto"/>
            <w:noWrap/>
            <w:vAlign w:val="center"/>
            <w:hideMark/>
          </w:tcPr>
          <w:p w14:paraId="5ACFA75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2,400.00 </w:t>
            </w:r>
          </w:p>
        </w:tc>
        <w:tc>
          <w:tcPr>
            <w:tcW w:w="758" w:type="dxa"/>
            <w:tcBorders>
              <w:top w:val="nil"/>
              <w:left w:val="nil"/>
              <w:bottom w:val="single" w:sz="4" w:space="0" w:color="auto"/>
              <w:right w:val="single" w:sz="4" w:space="0" w:color="auto"/>
            </w:tcBorders>
            <w:shd w:val="clear" w:color="auto" w:fill="auto"/>
            <w:noWrap/>
            <w:vAlign w:val="center"/>
            <w:hideMark/>
          </w:tcPr>
          <w:p w14:paraId="6B5367C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1,600.00 </w:t>
            </w:r>
          </w:p>
        </w:tc>
        <w:tc>
          <w:tcPr>
            <w:tcW w:w="758" w:type="dxa"/>
            <w:tcBorders>
              <w:top w:val="nil"/>
              <w:left w:val="nil"/>
              <w:bottom w:val="single" w:sz="4" w:space="0" w:color="auto"/>
              <w:right w:val="single" w:sz="4" w:space="0" w:color="auto"/>
            </w:tcBorders>
            <w:shd w:val="clear" w:color="auto" w:fill="auto"/>
            <w:noWrap/>
            <w:vAlign w:val="center"/>
            <w:hideMark/>
          </w:tcPr>
          <w:p w14:paraId="79C13FD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1,600.00 </w:t>
            </w:r>
          </w:p>
        </w:tc>
        <w:tc>
          <w:tcPr>
            <w:tcW w:w="980" w:type="dxa"/>
            <w:tcBorders>
              <w:top w:val="nil"/>
              <w:left w:val="nil"/>
              <w:bottom w:val="single" w:sz="4" w:space="0" w:color="auto"/>
              <w:right w:val="single" w:sz="4" w:space="0" w:color="auto"/>
            </w:tcBorders>
            <w:shd w:val="clear" w:color="auto" w:fill="auto"/>
            <w:noWrap/>
            <w:vAlign w:val="center"/>
            <w:hideMark/>
          </w:tcPr>
          <w:p w14:paraId="05BA1ECE"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8,000.00 </w:t>
            </w:r>
          </w:p>
        </w:tc>
        <w:tc>
          <w:tcPr>
            <w:tcW w:w="647" w:type="dxa"/>
            <w:tcBorders>
              <w:top w:val="nil"/>
              <w:left w:val="nil"/>
              <w:bottom w:val="single" w:sz="4" w:space="0" w:color="auto"/>
              <w:right w:val="single" w:sz="4" w:space="0" w:color="auto"/>
            </w:tcBorders>
            <w:shd w:val="clear" w:color="auto" w:fill="auto"/>
            <w:noWrap/>
            <w:vAlign w:val="center"/>
            <w:hideMark/>
          </w:tcPr>
          <w:p w14:paraId="503C6B46"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K </w:t>
            </w:r>
          </w:p>
        </w:tc>
      </w:tr>
      <w:tr w:rsidR="00086132" w:rsidRPr="00AC0422" w14:paraId="7ABA78E4" w14:textId="77777777" w:rsidTr="00086132">
        <w:trPr>
          <w:trHeight w:val="335"/>
        </w:trPr>
        <w:tc>
          <w:tcPr>
            <w:tcW w:w="1772" w:type="dxa"/>
            <w:vMerge/>
            <w:tcBorders>
              <w:top w:val="nil"/>
              <w:left w:val="nil"/>
              <w:bottom w:val="nil"/>
              <w:right w:val="nil"/>
            </w:tcBorders>
            <w:vAlign w:val="center"/>
            <w:hideMark/>
          </w:tcPr>
          <w:p w14:paraId="59F61AB6"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516B91E1"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26C855CF"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6E909D58"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3CF12D2F"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nil"/>
              <w:right w:val="single" w:sz="4" w:space="0" w:color="auto"/>
            </w:tcBorders>
            <w:shd w:val="clear" w:color="auto" w:fill="auto"/>
            <w:vAlign w:val="center"/>
            <w:hideMark/>
          </w:tcPr>
          <w:p w14:paraId="0B5F336D"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71600</w:t>
            </w:r>
          </w:p>
        </w:tc>
        <w:tc>
          <w:tcPr>
            <w:tcW w:w="1732" w:type="dxa"/>
            <w:tcBorders>
              <w:top w:val="nil"/>
              <w:left w:val="nil"/>
              <w:bottom w:val="nil"/>
              <w:right w:val="single" w:sz="4" w:space="0" w:color="auto"/>
            </w:tcBorders>
            <w:shd w:val="clear" w:color="auto" w:fill="auto"/>
            <w:vAlign w:val="center"/>
            <w:hideMark/>
          </w:tcPr>
          <w:p w14:paraId="5E449DC9"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Travel - International</w:t>
            </w:r>
          </w:p>
        </w:tc>
        <w:tc>
          <w:tcPr>
            <w:tcW w:w="758" w:type="dxa"/>
            <w:tcBorders>
              <w:top w:val="nil"/>
              <w:left w:val="nil"/>
              <w:bottom w:val="nil"/>
              <w:right w:val="single" w:sz="4" w:space="0" w:color="auto"/>
            </w:tcBorders>
            <w:shd w:val="clear" w:color="auto" w:fill="auto"/>
            <w:noWrap/>
            <w:vAlign w:val="center"/>
            <w:hideMark/>
          </w:tcPr>
          <w:p w14:paraId="096602E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4,500.00 </w:t>
            </w:r>
          </w:p>
        </w:tc>
        <w:tc>
          <w:tcPr>
            <w:tcW w:w="758" w:type="dxa"/>
            <w:tcBorders>
              <w:top w:val="nil"/>
              <w:left w:val="nil"/>
              <w:bottom w:val="nil"/>
              <w:right w:val="single" w:sz="4" w:space="0" w:color="auto"/>
            </w:tcBorders>
            <w:shd w:val="clear" w:color="auto" w:fill="auto"/>
            <w:noWrap/>
            <w:vAlign w:val="center"/>
            <w:hideMark/>
          </w:tcPr>
          <w:p w14:paraId="298A64C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4,500.00 </w:t>
            </w:r>
          </w:p>
        </w:tc>
        <w:tc>
          <w:tcPr>
            <w:tcW w:w="758" w:type="dxa"/>
            <w:tcBorders>
              <w:top w:val="nil"/>
              <w:left w:val="nil"/>
              <w:bottom w:val="nil"/>
              <w:right w:val="single" w:sz="4" w:space="0" w:color="auto"/>
            </w:tcBorders>
            <w:shd w:val="clear" w:color="auto" w:fill="auto"/>
            <w:noWrap/>
            <w:vAlign w:val="center"/>
            <w:hideMark/>
          </w:tcPr>
          <w:p w14:paraId="3D49391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3,000.00 </w:t>
            </w:r>
          </w:p>
        </w:tc>
        <w:tc>
          <w:tcPr>
            <w:tcW w:w="758" w:type="dxa"/>
            <w:tcBorders>
              <w:top w:val="nil"/>
              <w:left w:val="nil"/>
              <w:bottom w:val="nil"/>
              <w:right w:val="single" w:sz="4" w:space="0" w:color="auto"/>
            </w:tcBorders>
            <w:shd w:val="clear" w:color="auto" w:fill="auto"/>
            <w:noWrap/>
            <w:vAlign w:val="center"/>
            <w:hideMark/>
          </w:tcPr>
          <w:p w14:paraId="3D1F87B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3,000.00 </w:t>
            </w:r>
          </w:p>
        </w:tc>
        <w:tc>
          <w:tcPr>
            <w:tcW w:w="980" w:type="dxa"/>
            <w:tcBorders>
              <w:top w:val="nil"/>
              <w:left w:val="nil"/>
              <w:bottom w:val="nil"/>
              <w:right w:val="single" w:sz="4" w:space="0" w:color="auto"/>
            </w:tcBorders>
            <w:shd w:val="clear" w:color="auto" w:fill="auto"/>
            <w:noWrap/>
            <w:vAlign w:val="center"/>
            <w:hideMark/>
          </w:tcPr>
          <w:p w14:paraId="7DA71E7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15,000.00 </w:t>
            </w:r>
          </w:p>
        </w:tc>
        <w:tc>
          <w:tcPr>
            <w:tcW w:w="647" w:type="dxa"/>
            <w:tcBorders>
              <w:top w:val="nil"/>
              <w:left w:val="nil"/>
              <w:bottom w:val="nil"/>
              <w:right w:val="single" w:sz="4" w:space="0" w:color="auto"/>
            </w:tcBorders>
            <w:shd w:val="clear" w:color="auto" w:fill="auto"/>
            <w:noWrap/>
            <w:vAlign w:val="center"/>
            <w:hideMark/>
          </w:tcPr>
          <w:p w14:paraId="0F48E65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M </w:t>
            </w:r>
          </w:p>
        </w:tc>
      </w:tr>
      <w:tr w:rsidR="00086132" w:rsidRPr="00AC0422" w14:paraId="784C7A2F" w14:textId="77777777" w:rsidTr="00086132">
        <w:trPr>
          <w:trHeight w:val="335"/>
        </w:trPr>
        <w:tc>
          <w:tcPr>
            <w:tcW w:w="1772" w:type="dxa"/>
            <w:vMerge/>
            <w:tcBorders>
              <w:top w:val="nil"/>
              <w:left w:val="nil"/>
              <w:bottom w:val="nil"/>
              <w:right w:val="nil"/>
            </w:tcBorders>
            <w:vAlign w:val="center"/>
            <w:hideMark/>
          </w:tcPr>
          <w:p w14:paraId="5EBCAD60"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5990" w:type="dxa"/>
            <w:gridSpan w:val="5"/>
            <w:tcBorders>
              <w:top w:val="single" w:sz="8" w:space="0" w:color="auto"/>
              <w:left w:val="single" w:sz="8" w:space="0" w:color="auto"/>
              <w:bottom w:val="single" w:sz="8" w:space="0" w:color="auto"/>
              <w:right w:val="single" w:sz="4" w:space="0" w:color="auto"/>
            </w:tcBorders>
            <w:shd w:val="clear" w:color="000000" w:fill="D9D9D9"/>
            <w:vAlign w:val="center"/>
            <w:hideMark/>
          </w:tcPr>
          <w:p w14:paraId="075420F5"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Output 3.1.3</w:t>
            </w:r>
          </w:p>
        </w:tc>
        <w:tc>
          <w:tcPr>
            <w:tcW w:w="1732" w:type="dxa"/>
            <w:tcBorders>
              <w:top w:val="single" w:sz="8" w:space="0" w:color="auto"/>
              <w:left w:val="nil"/>
              <w:bottom w:val="single" w:sz="8" w:space="0" w:color="auto"/>
              <w:right w:val="single" w:sz="4" w:space="0" w:color="auto"/>
            </w:tcBorders>
            <w:shd w:val="clear" w:color="000000" w:fill="E8E8E8"/>
            <w:vAlign w:val="center"/>
            <w:hideMark/>
          </w:tcPr>
          <w:p w14:paraId="41810BC1"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0EACC02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66,540.00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14549E9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66,540.00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0D54DB7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44,360.00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0B73A76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44,360.00 </w:t>
            </w:r>
          </w:p>
        </w:tc>
        <w:tc>
          <w:tcPr>
            <w:tcW w:w="980" w:type="dxa"/>
            <w:tcBorders>
              <w:top w:val="single" w:sz="8" w:space="0" w:color="auto"/>
              <w:left w:val="nil"/>
              <w:bottom w:val="single" w:sz="8" w:space="0" w:color="auto"/>
              <w:right w:val="single" w:sz="4" w:space="0" w:color="auto"/>
            </w:tcBorders>
            <w:shd w:val="clear" w:color="000000" w:fill="E8E8E8"/>
            <w:noWrap/>
            <w:vAlign w:val="center"/>
            <w:hideMark/>
          </w:tcPr>
          <w:p w14:paraId="6EE96E4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221,800.00 </w:t>
            </w:r>
          </w:p>
        </w:tc>
        <w:tc>
          <w:tcPr>
            <w:tcW w:w="647" w:type="dxa"/>
            <w:tcBorders>
              <w:top w:val="single" w:sz="8" w:space="0" w:color="auto"/>
              <w:left w:val="nil"/>
              <w:bottom w:val="single" w:sz="8" w:space="0" w:color="auto"/>
              <w:right w:val="single" w:sz="8" w:space="0" w:color="auto"/>
            </w:tcBorders>
            <w:shd w:val="clear" w:color="000000" w:fill="E8E8E8"/>
            <w:noWrap/>
            <w:vAlign w:val="center"/>
            <w:hideMark/>
          </w:tcPr>
          <w:p w14:paraId="0C38C0E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70BA7C5D" w14:textId="77777777" w:rsidTr="00086132">
        <w:trPr>
          <w:trHeight w:val="472"/>
        </w:trPr>
        <w:tc>
          <w:tcPr>
            <w:tcW w:w="1772" w:type="dxa"/>
            <w:vMerge/>
            <w:tcBorders>
              <w:top w:val="nil"/>
              <w:left w:val="nil"/>
              <w:bottom w:val="nil"/>
              <w:right w:val="nil"/>
            </w:tcBorders>
            <w:vAlign w:val="center"/>
            <w:hideMark/>
          </w:tcPr>
          <w:p w14:paraId="28F86658"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val="restart"/>
            <w:tcBorders>
              <w:top w:val="nil"/>
              <w:left w:val="single" w:sz="4" w:space="0" w:color="auto"/>
              <w:bottom w:val="nil"/>
              <w:right w:val="single" w:sz="4" w:space="0" w:color="auto"/>
            </w:tcBorders>
            <w:shd w:val="clear" w:color="auto" w:fill="auto"/>
            <w:vAlign w:val="center"/>
            <w:hideMark/>
          </w:tcPr>
          <w:p w14:paraId="5C7B0ED1"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Output 3.1.4 Stakeholder engagement frameworks, agreements and awareness raising conducted or strengthened</w:t>
            </w:r>
          </w:p>
        </w:tc>
        <w:tc>
          <w:tcPr>
            <w:tcW w:w="1151" w:type="dxa"/>
            <w:vMerge w:val="restart"/>
            <w:tcBorders>
              <w:top w:val="nil"/>
              <w:left w:val="single" w:sz="4" w:space="0" w:color="auto"/>
              <w:bottom w:val="nil"/>
              <w:right w:val="single" w:sz="4" w:space="0" w:color="auto"/>
            </w:tcBorders>
            <w:shd w:val="clear" w:color="auto" w:fill="auto"/>
            <w:vAlign w:val="center"/>
            <w:hideMark/>
          </w:tcPr>
          <w:p w14:paraId="77F4416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UNDP</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707D6E85"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66001</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1705D264"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12526</w:t>
            </w:r>
          </w:p>
        </w:tc>
        <w:tc>
          <w:tcPr>
            <w:tcW w:w="1084" w:type="dxa"/>
            <w:tcBorders>
              <w:top w:val="nil"/>
              <w:left w:val="nil"/>
              <w:bottom w:val="single" w:sz="4" w:space="0" w:color="auto"/>
              <w:right w:val="single" w:sz="4" w:space="0" w:color="auto"/>
            </w:tcBorders>
            <w:shd w:val="clear" w:color="auto" w:fill="auto"/>
            <w:vAlign w:val="center"/>
            <w:hideMark/>
          </w:tcPr>
          <w:p w14:paraId="5564F35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71200</w:t>
            </w:r>
          </w:p>
        </w:tc>
        <w:tc>
          <w:tcPr>
            <w:tcW w:w="1732" w:type="dxa"/>
            <w:tcBorders>
              <w:top w:val="nil"/>
              <w:left w:val="nil"/>
              <w:bottom w:val="single" w:sz="4" w:space="0" w:color="auto"/>
              <w:right w:val="single" w:sz="4" w:space="0" w:color="auto"/>
            </w:tcBorders>
            <w:shd w:val="clear" w:color="auto" w:fill="auto"/>
            <w:vAlign w:val="center"/>
            <w:hideMark/>
          </w:tcPr>
          <w:p w14:paraId="1CD8F0A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International</w:t>
            </w:r>
          </w:p>
        </w:tc>
        <w:tc>
          <w:tcPr>
            <w:tcW w:w="758" w:type="dxa"/>
            <w:tcBorders>
              <w:top w:val="nil"/>
              <w:left w:val="nil"/>
              <w:bottom w:val="single" w:sz="4" w:space="0" w:color="auto"/>
              <w:right w:val="single" w:sz="4" w:space="0" w:color="auto"/>
            </w:tcBorders>
            <w:shd w:val="clear" w:color="auto" w:fill="auto"/>
            <w:noWrap/>
            <w:vAlign w:val="center"/>
            <w:hideMark/>
          </w:tcPr>
          <w:p w14:paraId="4994330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11,400.00 </w:t>
            </w:r>
          </w:p>
        </w:tc>
        <w:tc>
          <w:tcPr>
            <w:tcW w:w="758" w:type="dxa"/>
            <w:tcBorders>
              <w:top w:val="nil"/>
              <w:left w:val="nil"/>
              <w:bottom w:val="single" w:sz="4" w:space="0" w:color="auto"/>
              <w:right w:val="single" w:sz="4" w:space="0" w:color="auto"/>
            </w:tcBorders>
            <w:shd w:val="clear" w:color="auto" w:fill="auto"/>
            <w:noWrap/>
            <w:vAlign w:val="center"/>
            <w:hideMark/>
          </w:tcPr>
          <w:p w14:paraId="55761B2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11,400.00 </w:t>
            </w:r>
          </w:p>
        </w:tc>
        <w:tc>
          <w:tcPr>
            <w:tcW w:w="758" w:type="dxa"/>
            <w:tcBorders>
              <w:top w:val="nil"/>
              <w:left w:val="nil"/>
              <w:bottom w:val="single" w:sz="4" w:space="0" w:color="auto"/>
              <w:right w:val="single" w:sz="4" w:space="0" w:color="auto"/>
            </w:tcBorders>
            <w:shd w:val="clear" w:color="auto" w:fill="auto"/>
            <w:noWrap/>
            <w:vAlign w:val="center"/>
            <w:hideMark/>
          </w:tcPr>
          <w:p w14:paraId="2EFDC82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7,600.00 </w:t>
            </w:r>
          </w:p>
        </w:tc>
        <w:tc>
          <w:tcPr>
            <w:tcW w:w="758" w:type="dxa"/>
            <w:tcBorders>
              <w:top w:val="nil"/>
              <w:left w:val="nil"/>
              <w:bottom w:val="single" w:sz="4" w:space="0" w:color="auto"/>
              <w:right w:val="single" w:sz="4" w:space="0" w:color="auto"/>
            </w:tcBorders>
            <w:shd w:val="clear" w:color="auto" w:fill="auto"/>
            <w:noWrap/>
            <w:vAlign w:val="center"/>
            <w:hideMark/>
          </w:tcPr>
          <w:p w14:paraId="58F406C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7,600.00 </w:t>
            </w:r>
          </w:p>
        </w:tc>
        <w:tc>
          <w:tcPr>
            <w:tcW w:w="980" w:type="dxa"/>
            <w:tcBorders>
              <w:top w:val="nil"/>
              <w:left w:val="nil"/>
              <w:bottom w:val="single" w:sz="4" w:space="0" w:color="auto"/>
              <w:right w:val="single" w:sz="4" w:space="0" w:color="auto"/>
            </w:tcBorders>
            <w:shd w:val="clear" w:color="auto" w:fill="auto"/>
            <w:noWrap/>
            <w:vAlign w:val="center"/>
            <w:hideMark/>
          </w:tcPr>
          <w:p w14:paraId="24B44015"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38,000.00 </w:t>
            </w:r>
          </w:p>
        </w:tc>
        <w:tc>
          <w:tcPr>
            <w:tcW w:w="647" w:type="dxa"/>
            <w:tcBorders>
              <w:top w:val="nil"/>
              <w:left w:val="nil"/>
              <w:bottom w:val="single" w:sz="4" w:space="0" w:color="auto"/>
              <w:right w:val="single" w:sz="4" w:space="0" w:color="auto"/>
            </w:tcBorders>
            <w:shd w:val="clear" w:color="auto" w:fill="auto"/>
            <w:noWrap/>
            <w:vAlign w:val="center"/>
            <w:hideMark/>
          </w:tcPr>
          <w:p w14:paraId="320B25EB"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N </w:t>
            </w:r>
          </w:p>
        </w:tc>
      </w:tr>
      <w:tr w:rsidR="00086132" w:rsidRPr="00AC0422" w14:paraId="5EDBE071" w14:textId="77777777" w:rsidTr="00086132">
        <w:trPr>
          <w:trHeight w:val="472"/>
        </w:trPr>
        <w:tc>
          <w:tcPr>
            <w:tcW w:w="1772" w:type="dxa"/>
            <w:vMerge/>
            <w:tcBorders>
              <w:top w:val="nil"/>
              <w:left w:val="nil"/>
              <w:bottom w:val="nil"/>
              <w:right w:val="nil"/>
            </w:tcBorders>
            <w:vAlign w:val="center"/>
            <w:hideMark/>
          </w:tcPr>
          <w:p w14:paraId="3D41ED60"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253C63CD"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18CD86D7"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1FBAB801"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5931C64B"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6591137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single" w:sz="4" w:space="0" w:color="auto"/>
              <w:right w:val="single" w:sz="4" w:space="0" w:color="auto"/>
            </w:tcBorders>
            <w:shd w:val="clear" w:color="auto" w:fill="auto"/>
            <w:vAlign w:val="center"/>
            <w:hideMark/>
          </w:tcPr>
          <w:p w14:paraId="09A4D5D6"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nil"/>
              <w:left w:val="nil"/>
              <w:bottom w:val="single" w:sz="4" w:space="0" w:color="auto"/>
              <w:right w:val="single" w:sz="4" w:space="0" w:color="auto"/>
            </w:tcBorders>
            <w:shd w:val="clear" w:color="auto" w:fill="auto"/>
            <w:noWrap/>
            <w:vAlign w:val="center"/>
            <w:hideMark/>
          </w:tcPr>
          <w:p w14:paraId="13AC342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32,760.00 </w:t>
            </w:r>
          </w:p>
        </w:tc>
        <w:tc>
          <w:tcPr>
            <w:tcW w:w="758" w:type="dxa"/>
            <w:tcBorders>
              <w:top w:val="nil"/>
              <w:left w:val="nil"/>
              <w:bottom w:val="single" w:sz="4" w:space="0" w:color="auto"/>
              <w:right w:val="single" w:sz="4" w:space="0" w:color="auto"/>
            </w:tcBorders>
            <w:shd w:val="clear" w:color="auto" w:fill="auto"/>
            <w:noWrap/>
            <w:vAlign w:val="center"/>
            <w:hideMark/>
          </w:tcPr>
          <w:p w14:paraId="5059ABF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32,760.00 </w:t>
            </w:r>
          </w:p>
        </w:tc>
        <w:tc>
          <w:tcPr>
            <w:tcW w:w="758" w:type="dxa"/>
            <w:tcBorders>
              <w:top w:val="nil"/>
              <w:left w:val="nil"/>
              <w:bottom w:val="single" w:sz="4" w:space="0" w:color="auto"/>
              <w:right w:val="single" w:sz="4" w:space="0" w:color="auto"/>
            </w:tcBorders>
            <w:shd w:val="clear" w:color="auto" w:fill="auto"/>
            <w:noWrap/>
            <w:vAlign w:val="center"/>
            <w:hideMark/>
          </w:tcPr>
          <w:p w14:paraId="1B26D68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21,840.00 </w:t>
            </w:r>
          </w:p>
        </w:tc>
        <w:tc>
          <w:tcPr>
            <w:tcW w:w="758" w:type="dxa"/>
            <w:tcBorders>
              <w:top w:val="nil"/>
              <w:left w:val="nil"/>
              <w:bottom w:val="single" w:sz="4" w:space="0" w:color="auto"/>
              <w:right w:val="single" w:sz="4" w:space="0" w:color="auto"/>
            </w:tcBorders>
            <w:shd w:val="clear" w:color="auto" w:fill="auto"/>
            <w:noWrap/>
            <w:vAlign w:val="center"/>
            <w:hideMark/>
          </w:tcPr>
          <w:p w14:paraId="3C00006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21,840.00 </w:t>
            </w:r>
          </w:p>
        </w:tc>
        <w:tc>
          <w:tcPr>
            <w:tcW w:w="980" w:type="dxa"/>
            <w:tcBorders>
              <w:top w:val="nil"/>
              <w:left w:val="nil"/>
              <w:bottom w:val="single" w:sz="4" w:space="0" w:color="auto"/>
              <w:right w:val="single" w:sz="4" w:space="0" w:color="auto"/>
            </w:tcBorders>
            <w:shd w:val="clear" w:color="auto" w:fill="auto"/>
            <w:noWrap/>
            <w:vAlign w:val="center"/>
            <w:hideMark/>
          </w:tcPr>
          <w:p w14:paraId="671C850C"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109,200.00 </w:t>
            </w:r>
          </w:p>
        </w:tc>
        <w:tc>
          <w:tcPr>
            <w:tcW w:w="647" w:type="dxa"/>
            <w:tcBorders>
              <w:top w:val="nil"/>
              <w:left w:val="nil"/>
              <w:bottom w:val="single" w:sz="4" w:space="0" w:color="auto"/>
              <w:right w:val="single" w:sz="4" w:space="0" w:color="auto"/>
            </w:tcBorders>
            <w:shd w:val="clear" w:color="auto" w:fill="auto"/>
            <w:noWrap/>
            <w:vAlign w:val="center"/>
            <w:hideMark/>
          </w:tcPr>
          <w:p w14:paraId="4C291372"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O </w:t>
            </w:r>
          </w:p>
        </w:tc>
      </w:tr>
      <w:tr w:rsidR="00086132" w:rsidRPr="00AC0422" w14:paraId="49D0EBED" w14:textId="77777777" w:rsidTr="00086132">
        <w:trPr>
          <w:trHeight w:val="472"/>
        </w:trPr>
        <w:tc>
          <w:tcPr>
            <w:tcW w:w="1772" w:type="dxa"/>
            <w:vMerge/>
            <w:tcBorders>
              <w:top w:val="nil"/>
              <w:left w:val="nil"/>
              <w:bottom w:val="nil"/>
              <w:right w:val="nil"/>
            </w:tcBorders>
            <w:vAlign w:val="center"/>
            <w:hideMark/>
          </w:tcPr>
          <w:p w14:paraId="343E3BB3"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5285040A"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53F8CE72"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0B14CAF4"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37BA9675"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0C2AD99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75700</w:t>
            </w:r>
          </w:p>
        </w:tc>
        <w:tc>
          <w:tcPr>
            <w:tcW w:w="1732" w:type="dxa"/>
            <w:tcBorders>
              <w:top w:val="nil"/>
              <w:left w:val="nil"/>
              <w:bottom w:val="single" w:sz="4" w:space="0" w:color="auto"/>
              <w:right w:val="single" w:sz="4" w:space="0" w:color="auto"/>
            </w:tcBorders>
            <w:shd w:val="clear" w:color="auto" w:fill="auto"/>
            <w:vAlign w:val="center"/>
            <w:hideMark/>
          </w:tcPr>
          <w:p w14:paraId="62EAAD4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Workshop/Training </w:t>
            </w:r>
          </w:p>
        </w:tc>
        <w:tc>
          <w:tcPr>
            <w:tcW w:w="758" w:type="dxa"/>
            <w:tcBorders>
              <w:top w:val="nil"/>
              <w:left w:val="nil"/>
              <w:bottom w:val="single" w:sz="4" w:space="0" w:color="auto"/>
              <w:right w:val="single" w:sz="4" w:space="0" w:color="auto"/>
            </w:tcBorders>
            <w:shd w:val="clear" w:color="auto" w:fill="auto"/>
            <w:noWrap/>
            <w:vAlign w:val="center"/>
            <w:hideMark/>
          </w:tcPr>
          <w:p w14:paraId="60066FC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66,000.00 </w:t>
            </w:r>
          </w:p>
        </w:tc>
        <w:tc>
          <w:tcPr>
            <w:tcW w:w="758" w:type="dxa"/>
            <w:tcBorders>
              <w:top w:val="nil"/>
              <w:left w:val="nil"/>
              <w:bottom w:val="single" w:sz="4" w:space="0" w:color="auto"/>
              <w:right w:val="single" w:sz="4" w:space="0" w:color="auto"/>
            </w:tcBorders>
            <w:shd w:val="clear" w:color="auto" w:fill="auto"/>
            <w:noWrap/>
            <w:vAlign w:val="center"/>
            <w:hideMark/>
          </w:tcPr>
          <w:p w14:paraId="71FC2B1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66,000.00 </w:t>
            </w:r>
          </w:p>
        </w:tc>
        <w:tc>
          <w:tcPr>
            <w:tcW w:w="758" w:type="dxa"/>
            <w:tcBorders>
              <w:top w:val="nil"/>
              <w:left w:val="nil"/>
              <w:bottom w:val="single" w:sz="4" w:space="0" w:color="auto"/>
              <w:right w:val="single" w:sz="4" w:space="0" w:color="auto"/>
            </w:tcBorders>
            <w:shd w:val="clear" w:color="auto" w:fill="auto"/>
            <w:noWrap/>
            <w:vAlign w:val="center"/>
            <w:hideMark/>
          </w:tcPr>
          <w:p w14:paraId="720D275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44,000.00 </w:t>
            </w:r>
          </w:p>
        </w:tc>
        <w:tc>
          <w:tcPr>
            <w:tcW w:w="758" w:type="dxa"/>
            <w:tcBorders>
              <w:top w:val="nil"/>
              <w:left w:val="nil"/>
              <w:bottom w:val="single" w:sz="4" w:space="0" w:color="auto"/>
              <w:right w:val="single" w:sz="4" w:space="0" w:color="auto"/>
            </w:tcBorders>
            <w:shd w:val="clear" w:color="auto" w:fill="auto"/>
            <w:noWrap/>
            <w:vAlign w:val="center"/>
            <w:hideMark/>
          </w:tcPr>
          <w:p w14:paraId="7DAAC0F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44,000.00 </w:t>
            </w:r>
          </w:p>
        </w:tc>
        <w:tc>
          <w:tcPr>
            <w:tcW w:w="980" w:type="dxa"/>
            <w:tcBorders>
              <w:top w:val="nil"/>
              <w:left w:val="nil"/>
              <w:bottom w:val="single" w:sz="4" w:space="0" w:color="auto"/>
              <w:right w:val="single" w:sz="4" w:space="0" w:color="auto"/>
            </w:tcBorders>
            <w:shd w:val="clear" w:color="auto" w:fill="auto"/>
            <w:noWrap/>
            <w:vAlign w:val="center"/>
            <w:hideMark/>
          </w:tcPr>
          <w:p w14:paraId="1AB9C2E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220,000.00 </w:t>
            </w:r>
          </w:p>
        </w:tc>
        <w:tc>
          <w:tcPr>
            <w:tcW w:w="647" w:type="dxa"/>
            <w:tcBorders>
              <w:top w:val="nil"/>
              <w:left w:val="nil"/>
              <w:bottom w:val="single" w:sz="4" w:space="0" w:color="auto"/>
              <w:right w:val="single" w:sz="4" w:space="0" w:color="auto"/>
            </w:tcBorders>
            <w:shd w:val="clear" w:color="auto" w:fill="auto"/>
            <w:noWrap/>
            <w:vAlign w:val="center"/>
            <w:hideMark/>
          </w:tcPr>
          <w:p w14:paraId="63763B61"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P </w:t>
            </w:r>
          </w:p>
        </w:tc>
      </w:tr>
      <w:tr w:rsidR="00086132" w:rsidRPr="00AC0422" w14:paraId="552F6E09" w14:textId="77777777" w:rsidTr="00086132">
        <w:trPr>
          <w:trHeight w:val="472"/>
        </w:trPr>
        <w:tc>
          <w:tcPr>
            <w:tcW w:w="1772" w:type="dxa"/>
            <w:vMerge/>
            <w:tcBorders>
              <w:top w:val="nil"/>
              <w:left w:val="nil"/>
              <w:bottom w:val="nil"/>
              <w:right w:val="nil"/>
            </w:tcBorders>
            <w:vAlign w:val="center"/>
            <w:hideMark/>
          </w:tcPr>
          <w:p w14:paraId="6EF7CE51"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33B2F6DB"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73B50BF1"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03981B55"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7D5D4C3D"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7F42C17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74200 </w:t>
            </w:r>
          </w:p>
        </w:tc>
        <w:tc>
          <w:tcPr>
            <w:tcW w:w="1732" w:type="dxa"/>
            <w:tcBorders>
              <w:top w:val="nil"/>
              <w:left w:val="nil"/>
              <w:bottom w:val="single" w:sz="4" w:space="0" w:color="auto"/>
              <w:right w:val="single" w:sz="4" w:space="0" w:color="auto"/>
            </w:tcBorders>
            <w:shd w:val="clear" w:color="auto" w:fill="auto"/>
            <w:vAlign w:val="center"/>
            <w:hideMark/>
          </w:tcPr>
          <w:p w14:paraId="3F059F8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Audio Visual &amp; Printing</w:t>
            </w:r>
          </w:p>
        </w:tc>
        <w:tc>
          <w:tcPr>
            <w:tcW w:w="758" w:type="dxa"/>
            <w:tcBorders>
              <w:top w:val="nil"/>
              <w:left w:val="nil"/>
              <w:bottom w:val="single" w:sz="4" w:space="0" w:color="auto"/>
              <w:right w:val="single" w:sz="4" w:space="0" w:color="auto"/>
            </w:tcBorders>
            <w:shd w:val="clear" w:color="auto" w:fill="auto"/>
            <w:noWrap/>
            <w:vAlign w:val="center"/>
            <w:hideMark/>
          </w:tcPr>
          <w:p w14:paraId="55C5735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12,000.00 </w:t>
            </w:r>
          </w:p>
        </w:tc>
        <w:tc>
          <w:tcPr>
            <w:tcW w:w="758" w:type="dxa"/>
            <w:tcBorders>
              <w:top w:val="nil"/>
              <w:left w:val="nil"/>
              <w:bottom w:val="single" w:sz="4" w:space="0" w:color="auto"/>
              <w:right w:val="single" w:sz="4" w:space="0" w:color="auto"/>
            </w:tcBorders>
            <w:shd w:val="clear" w:color="auto" w:fill="auto"/>
            <w:noWrap/>
            <w:vAlign w:val="center"/>
            <w:hideMark/>
          </w:tcPr>
          <w:p w14:paraId="12E6385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12,000.00 </w:t>
            </w:r>
          </w:p>
        </w:tc>
        <w:tc>
          <w:tcPr>
            <w:tcW w:w="758" w:type="dxa"/>
            <w:tcBorders>
              <w:top w:val="nil"/>
              <w:left w:val="nil"/>
              <w:bottom w:val="single" w:sz="4" w:space="0" w:color="auto"/>
              <w:right w:val="single" w:sz="4" w:space="0" w:color="auto"/>
            </w:tcBorders>
            <w:shd w:val="clear" w:color="auto" w:fill="auto"/>
            <w:noWrap/>
            <w:vAlign w:val="center"/>
            <w:hideMark/>
          </w:tcPr>
          <w:p w14:paraId="250BCE0D"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8,000.00 </w:t>
            </w:r>
          </w:p>
        </w:tc>
        <w:tc>
          <w:tcPr>
            <w:tcW w:w="758" w:type="dxa"/>
            <w:tcBorders>
              <w:top w:val="nil"/>
              <w:left w:val="nil"/>
              <w:bottom w:val="single" w:sz="4" w:space="0" w:color="auto"/>
              <w:right w:val="single" w:sz="4" w:space="0" w:color="auto"/>
            </w:tcBorders>
            <w:shd w:val="clear" w:color="auto" w:fill="auto"/>
            <w:noWrap/>
            <w:vAlign w:val="center"/>
            <w:hideMark/>
          </w:tcPr>
          <w:p w14:paraId="50EC92E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8,000.00 </w:t>
            </w:r>
          </w:p>
        </w:tc>
        <w:tc>
          <w:tcPr>
            <w:tcW w:w="980" w:type="dxa"/>
            <w:tcBorders>
              <w:top w:val="nil"/>
              <w:left w:val="nil"/>
              <w:bottom w:val="single" w:sz="4" w:space="0" w:color="auto"/>
              <w:right w:val="single" w:sz="4" w:space="0" w:color="auto"/>
            </w:tcBorders>
            <w:shd w:val="clear" w:color="auto" w:fill="auto"/>
            <w:noWrap/>
            <w:vAlign w:val="center"/>
            <w:hideMark/>
          </w:tcPr>
          <w:p w14:paraId="1ECC7B04"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40,000.00 </w:t>
            </w:r>
          </w:p>
        </w:tc>
        <w:tc>
          <w:tcPr>
            <w:tcW w:w="647" w:type="dxa"/>
            <w:tcBorders>
              <w:top w:val="nil"/>
              <w:left w:val="nil"/>
              <w:bottom w:val="single" w:sz="4" w:space="0" w:color="auto"/>
              <w:right w:val="single" w:sz="4" w:space="0" w:color="auto"/>
            </w:tcBorders>
            <w:shd w:val="clear" w:color="auto" w:fill="auto"/>
            <w:noWrap/>
            <w:vAlign w:val="center"/>
            <w:hideMark/>
          </w:tcPr>
          <w:p w14:paraId="25980CCA"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Q </w:t>
            </w:r>
          </w:p>
        </w:tc>
      </w:tr>
      <w:tr w:rsidR="00086132" w:rsidRPr="00AC0422" w14:paraId="7B0AB752" w14:textId="77777777" w:rsidTr="00086132">
        <w:trPr>
          <w:trHeight w:val="472"/>
        </w:trPr>
        <w:tc>
          <w:tcPr>
            <w:tcW w:w="1772" w:type="dxa"/>
            <w:vMerge/>
            <w:tcBorders>
              <w:top w:val="nil"/>
              <w:left w:val="nil"/>
              <w:bottom w:val="nil"/>
              <w:right w:val="nil"/>
            </w:tcBorders>
            <w:vAlign w:val="center"/>
            <w:hideMark/>
          </w:tcPr>
          <w:p w14:paraId="179D2225"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023394E0"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51" w:type="dxa"/>
            <w:vMerge/>
            <w:tcBorders>
              <w:top w:val="nil"/>
              <w:left w:val="single" w:sz="4" w:space="0" w:color="auto"/>
              <w:bottom w:val="nil"/>
              <w:right w:val="single" w:sz="4" w:space="0" w:color="auto"/>
            </w:tcBorders>
            <w:vAlign w:val="center"/>
            <w:hideMark/>
          </w:tcPr>
          <w:p w14:paraId="0FE30808"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13B7C64C"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148" w:type="dxa"/>
            <w:vMerge/>
            <w:tcBorders>
              <w:top w:val="nil"/>
              <w:left w:val="single" w:sz="4" w:space="0" w:color="auto"/>
              <w:bottom w:val="nil"/>
              <w:right w:val="single" w:sz="4" w:space="0" w:color="auto"/>
            </w:tcBorders>
            <w:vAlign w:val="center"/>
            <w:hideMark/>
          </w:tcPr>
          <w:p w14:paraId="0C3EFC3F"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p>
        </w:tc>
        <w:tc>
          <w:tcPr>
            <w:tcW w:w="1084" w:type="dxa"/>
            <w:tcBorders>
              <w:top w:val="nil"/>
              <w:left w:val="nil"/>
              <w:bottom w:val="nil"/>
              <w:right w:val="single" w:sz="4" w:space="0" w:color="auto"/>
            </w:tcBorders>
            <w:shd w:val="clear" w:color="auto" w:fill="auto"/>
            <w:vAlign w:val="center"/>
            <w:hideMark/>
          </w:tcPr>
          <w:p w14:paraId="675FBDE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72100</w:t>
            </w:r>
          </w:p>
        </w:tc>
        <w:tc>
          <w:tcPr>
            <w:tcW w:w="1732" w:type="dxa"/>
            <w:tcBorders>
              <w:top w:val="nil"/>
              <w:left w:val="nil"/>
              <w:bottom w:val="nil"/>
              <w:right w:val="single" w:sz="4" w:space="0" w:color="auto"/>
            </w:tcBorders>
            <w:shd w:val="clear" w:color="auto" w:fill="auto"/>
            <w:vAlign w:val="center"/>
            <w:hideMark/>
          </w:tcPr>
          <w:p w14:paraId="5F05FA0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Contractual Services – Companies/Firm</w:t>
            </w:r>
          </w:p>
        </w:tc>
        <w:tc>
          <w:tcPr>
            <w:tcW w:w="758" w:type="dxa"/>
            <w:tcBorders>
              <w:top w:val="nil"/>
              <w:left w:val="nil"/>
              <w:bottom w:val="nil"/>
              <w:right w:val="single" w:sz="4" w:space="0" w:color="auto"/>
            </w:tcBorders>
            <w:shd w:val="clear" w:color="auto" w:fill="auto"/>
            <w:noWrap/>
            <w:vAlign w:val="center"/>
            <w:hideMark/>
          </w:tcPr>
          <w:p w14:paraId="03568D1B"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13,500.00 </w:t>
            </w:r>
          </w:p>
        </w:tc>
        <w:tc>
          <w:tcPr>
            <w:tcW w:w="758" w:type="dxa"/>
            <w:tcBorders>
              <w:top w:val="nil"/>
              <w:left w:val="nil"/>
              <w:bottom w:val="nil"/>
              <w:right w:val="single" w:sz="4" w:space="0" w:color="auto"/>
            </w:tcBorders>
            <w:shd w:val="clear" w:color="auto" w:fill="auto"/>
            <w:noWrap/>
            <w:vAlign w:val="center"/>
            <w:hideMark/>
          </w:tcPr>
          <w:p w14:paraId="2A700A1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13,500.00 </w:t>
            </w:r>
          </w:p>
        </w:tc>
        <w:tc>
          <w:tcPr>
            <w:tcW w:w="758" w:type="dxa"/>
            <w:tcBorders>
              <w:top w:val="nil"/>
              <w:left w:val="nil"/>
              <w:bottom w:val="nil"/>
              <w:right w:val="single" w:sz="4" w:space="0" w:color="auto"/>
            </w:tcBorders>
            <w:shd w:val="clear" w:color="auto" w:fill="auto"/>
            <w:noWrap/>
            <w:vAlign w:val="center"/>
            <w:hideMark/>
          </w:tcPr>
          <w:p w14:paraId="2740FB6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9,000.00 </w:t>
            </w:r>
          </w:p>
        </w:tc>
        <w:tc>
          <w:tcPr>
            <w:tcW w:w="758" w:type="dxa"/>
            <w:tcBorders>
              <w:top w:val="nil"/>
              <w:left w:val="nil"/>
              <w:bottom w:val="nil"/>
              <w:right w:val="single" w:sz="4" w:space="0" w:color="auto"/>
            </w:tcBorders>
            <w:shd w:val="clear" w:color="auto" w:fill="auto"/>
            <w:noWrap/>
            <w:vAlign w:val="center"/>
            <w:hideMark/>
          </w:tcPr>
          <w:p w14:paraId="02F9D52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9,000.00 </w:t>
            </w:r>
          </w:p>
        </w:tc>
        <w:tc>
          <w:tcPr>
            <w:tcW w:w="980" w:type="dxa"/>
            <w:tcBorders>
              <w:top w:val="nil"/>
              <w:left w:val="nil"/>
              <w:bottom w:val="nil"/>
              <w:right w:val="single" w:sz="4" w:space="0" w:color="auto"/>
            </w:tcBorders>
            <w:shd w:val="clear" w:color="auto" w:fill="auto"/>
            <w:noWrap/>
            <w:vAlign w:val="center"/>
            <w:hideMark/>
          </w:tcPr>
          <w:p w14:paraId="4573AD49"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45,000.00 </w:t>
            </w:r>
          </w:p>
        </w:tc>
        <w:tc>
          <w:tcPr>
            <w:tcW w:w="647" w:type="dxa"/>
            <w:tcBorders>
              <w:top w:val="nil"/>
              <w:left w:val="nil"/>
              <w:bottom w:val="nil"/>
              <w:right w:val="single" w:sz="4" w:space="0" w:color="auto"/>
            </w:tcBorders>
            <w:shd w:val="clear" w:color="auto" w:fill="auto"/>
            <w:noWrap/>
            <w:vAlign w:val="center"/>
            <w:hideMark/>
          </w:tcPr>
          <w:p w14:paraId="01CB9B1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R </w:t>
            </w:r>
          </w:p>
        </w:tc>
      </w:tr>
      <w:tr w:rsidR="00086132" w:rsidRPr="00AC0422" w14:paraId="1D357DC6" w14:textId="77777777" w:rsidTr="00086132">
        <w:trPr>
          <w:trHeight w:val="472"/>
        </w:trPr>
        <w:tc>
          <w:tcPr>
            <w:tcW w:w="1772" w:type="dxa"/>
            <w:vMerge/>
            <w:tcBorders>
              <w:top w:val="nil"/>
              <w:left w:val="nil"/>
              <w:bottom w:val="nil"/>
              <w:right w:val="nil"/>
            </w:tcBorders>
            <w:vAlign w:val="center"/>
            <w:hideMark/>
          </w:tcPr>
          <w:p w14:paraId="6527B46F"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5990" w:type="dxa"/>
            <w:gridSpan w:val="5"/>
            <w:tcBorders>
              <w:top w:val="single" w:sz="8" w:space="0" w:color="auto"/>
              <w:left w:val="single" w:sz="8" w:space="0" w:color="auto"/>
              <w:bottom w:val="nil"/>
              <w:right w:val="single" w:sz="4" w:space="0" w:color="auto"/>
            </w:tcBorders>
            <w:shd w:val="clear" w:color="000000" w:fill="D9D9D9"/>
            <w:vAlign w:val="center"/>
            <w:hideMark/>
          </w:tcPr>
          <w:p w14:paraId="3F41E974"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Output 3.1.4</w:t>
            </w:r>
          </w:p>
        </w:tc>
        <w:tc>
          <w:tcPr>
            <w:tcW w:w="1732" w:type="dxa"/>
            <w:tcBorders>
              <w:top w:val="single" w:sz="8" w:space="0" w:color="auto"/>
              <w:left w:val="nil"/>
              <w:bottom w:val="nil"/>
              <w:right w:val="single" w:sz="4" w:space="0" w:color="auto"/>
            </w:tcBorders>
            <w:shd w:val="clear" w:color="000000" w:fill="D9D9D9"/>
            <w:vAlign w:val="center"/>
            <w:hideMark/>
          </w:tcPr>
          <w:p w14:paraId="5EA5ECE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nil"/>
              <w:right w:val="single" w:sz="4" w:space="0" w:color="auto"/>
            </w:tcBorders>
            <w:shd w:val="clear" w:color="000000" w:fill="D9D9D9"/>
            <w:noWrap/>
            <w:vAlign w:val="center"/>
            <w:hideMark/>
          </w:tcPr>
          <w:p w14:paraId="1E7DDA4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135,660.00 </w:t>
            </w:r>
          </w:p>
        </w:tc>
        <w:tc>
          <w:tcPr>
            <w:tcW w:w="758" w:type="dxa"/>
            <w:tcBorders>
              <w:top w:val="single" w:sz="8" w:space="0" w:color="auto"/>
              <w:left w:val="nil"/>
              <w:bottom w:val="nil"/>
              <w:right w:val="single" w:sz="4" w:space="0" w:color="auto"/>
            </w:tcBorders>
            <w:shd w:val="clear" w:color="000000" w:fill="D9D9D9"/>
            <w:noWrap/>
            <w:vAlign w:val="center"/>
            <w:hideMark/>
          </w:tcPr>
          <w:p w14:paraId="5D2C459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135,660.00 </w:t>
            </w:r>
          </w:p>
        </w:tc>
        <w:tc>
          <w:tcPr>
            <w:tcW w:w="758" w:type="dxa"/>
            <w:tcBorders>
              <w:top w:val="single" w:sz="8" w:space="0" w:color="auto"/>
              <w:left w:val="nil"/>
              <w:bottom w:val="nil"/>
              <w:right w:val="single" w:sz="4" w:space="0" w:color="auto"/>
            </w:tcBorders>
            <w:shd w:val="clear" w:color="000000" w:fill="D9D9D9"/>
            <w:noWrap/>
            <w:vAlign w:val="center"/>
            <w:hideMark/>
          </w:tcPr>
          <w:p w14:paraId="067588B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90,440.00 </w:t>
            </w:r>
          </w:p>
        </w:tc>
        <w:tc>
          <w:tcPr>
            <w:tcW w:w="758" w:type="dxa"/>
            <w:tcBorders>
              <w:top w:val="single" w:sz="8" w:space="0" w:color="auto"/>
              <w:left w:val="nil"/>
              <w:bottom w:val="nil"/>
              <w:right w:val="single" w:sz="4" w:space="0" w:color="auto"/>
            </w:tcBorders>
            <w:shd w:val="clear" w:color="000000" w:fill="D9D9D9"/>
            <w:noWrap/>
            <w:vAlign w:val="center"/>
            <w:hideMark/>
          </w:tcPr>
          <w:p w14:paraId="660BBC4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90,440.00 </w:t>
            </w:r>
          </w:p>
        </w:tc>
        <w:tc>
          <w:tcPr>
            <w:tcW w:w="980" w:type="dxa"/>
            <w:tcBorders>
              <w:top w:val="single" w:sz="8" w:space="0" w:color="auto"/>
              <w:left w:val="nil"/>
              <w:bottom w:val="nil"/>
              <w:right w:val="single" w:sz="4" w:space="0" w:color="auto"/>
            </w:tcBorders>
            <w:shd w:val="clear" w:color="000000" w:fill="D9D9D9"/>
            <w:noWrap/>
            <w:vAlign w:val="center"/>
            <w:hideMark/>
          </w:tcPr>
          <w:p w14:paraId="6B431F7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452,200.00 </w:t>
            </w:r>
          </w:p>
        </w:tc>
        <w:tc>
          <w:tcPr>
            <w:tcW w:w="647" w:type="dxa"/>
            <w:tcBorders>
              <w:top w:val="single" w:sz="8" w:space="0" w:color="auto"/>
              <w:left w:val="nil"/>
              <w:bottom w:val="nil"/>
              <w:right w:val="single" w:sz="8" w:space="0" w:color="auto"/>
            </w:tcBorders>
            <w:shd w:val="clear" w:color="000000" w:fill="D9D9D9"/>
            <w:noWrap/>
            <w:vAlign w:val="center"/>
            <w:hideMark/>
          </w:tcPr>
          <w:p w14:paraId="091C4952"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45A03AB9" w14:textId="77777777" w:rsidTr="00086132">
        <w:trPr>
          <w:trHeight w:val="472"/>
        </w:trPr>
        <w:tc>
          <w:tcPr>
            <w:tcW w:w="7762" w:type="dxa"/>
            <w:gridSpan w:val="6"/>
            <w:tcBorders>
              <w:top w:val="single" w:sz="8" w:space="0" w:color="auto"/>
              <w:left w:val="nil"/>
              <w:bottom w:val="single" w:sz="8" w:space="0" w:color="auto"/>
              <w:right w:val="single" w:sz="4" w:space="0" w:color="auto"/>
            </w:tcBorders>
            <w:shd w:val="clear" w:color="000000" w:fill="DEEDCB"/>
            <w:vAlign w:val="center"/>
            <w:hideMark/>
          </w:tcPr>
          <w:p w14:paraId="2826C423"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Outcome 3.1</w:t>
            </w:r>
          </w:p>
        </w:tc>
        <w:tc>
          <w:tcPr>
            <w:tcW w:w="1732" w:type="dxa"/>
            <w:tcBorders>
              <w:top w:val="single" w:sz="8" w:space="0" w:color="auto"/>
              <w:left w:val="nil"/>
              <w:bottom w:val="single" w:sz="8" w:space="0" w:color="auto"/>
              <w:right w:val="single" w:sz="4" w:space="0" w:color="auto"/>
            </w:tcBorders>
            <w:shd w:val="clear" w:color="000000" w:fill="DEEDCB"/>
            <w:vAlign w:val="center"/>
            <w:hideMark/>
          </w:tcPr>
          <w:p w14:paraId="723F36D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7E271AC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236,505.00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3D3A8A1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339,420.00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09CFCFA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272,020.00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045DD77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169,105.00 </w:t>
            </w:r>
          </w:p>
        </w:tc>
        <w:tc>
          <w:tcPr>
            <w:tcW w:w="980" w:type="dxa"/>
            <w:tcBorders>
              <w:top w:val="single" w:sz="8" w:space="0" w:color="auto"/>
              <w:left w:val="nil"/>
              <w:bottom w:val="single" w:sz="8" w:space="0" w:color="auto"/>
              <w:right w:val="single" w:sz="4" w:space="0" w:color="auto"/>
            </w:tcBorders>
            <w:shd w:val="clear" w:color="000000" w:fill="DEEDCB"/>
            <w:noWrap/>
            <w:vAlign w:val="center"/>
            <w:hideMark/>
          </w:tcPr>
          <w:p w14:paraId="1F20BB7E"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1,017,050.00 </w:t>
            </w:r>
          </w:p>
        </w:tc>
        <w:tc>
          <w:tcPr>
            <w:tcW w:w="647" w:type="dxa"/>
            <w:tcBorders>
              <w:top w:val="single" w:sz="8" w:space="0" w:color="auto"/>
              <w:left w:val="nil"/>
              <w:bottom w:val="single" w:sz="8" w:space="0" w:color="auto"/>
              <w:right w:val="single" w:sz="8" w:space="0" w:color="auto"/>
            </w:tcBorders>
            <w:shd w:val="clear" w:color="000000" w:fill="DEEDCB"/>
            <w:noWrap/>
            <w:vAlign w:val="center"/>
            <w:hideMark/>
          </w:tcPr>
          <w:p w14:paraId="45C58586"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7FF3F2B5" w14:textId="77777777" w:rsidTr="00086132">
        <w:trPr>
          <w:trHeight w:val="365"/>
        </w:trPr>
        <w:tc>
          <w:tcPr>
            <w:tcW w:w="1772" w:type="dxa"/>
            <w:vMerge w:val="restart"/>
            <w:tcBorders>
              <w:top w:val="nil"/>
              <w:left w:val="nil"/>
              <w:bottom w:val="single" w:sz="8" w:space="0" w:color="000000"/>
              <w:right w:val="nil"/>
            </w:tcBorders>
            <w:shd w:val="clear" w:color="000000" w:fill="CEDBE6"/>
            <w:vAlign w:val="center"/>
            <w:hideMark/>
          </w:tcPr>
          <w:p w14:paraId="2EF9AB44" w14:textId="77777777" w:rsidR="00086132" w:rsidRPr="00AC0422" w:rsidRDefault="00086132" w:rsidP="00086132">
            <w:pPr>
              <w:spacing w:after="0"/>
              <w:jc w:val="center"/>
              <w:rPr>
                <w:rFonts w:asciiTheme="minorHAnsi" w:eastAsia="Times New Roman" w:hAnsiTheme="minorHAnsi" w:cstheme="minorHAnsi"/>
                <w:b/>
                <w:bCs/>
                <w:sz w:val="16"/>
                <w:szCs w:val="16"/>
                <w:lang w:val="en-CA"/>
              </w:rPr>
            </w:pPr>
            <w:r w:rsidRPr="00AC0422">
              <w:rPr>
                <w:rFonts w:asciiTheme="minorHAnsi" w:eastAsia="Times New Roman" w:hAnsiTheme="minorHAnsi" w:cstheme="minorHAnsi"/>
                <w:b/>
                <w:bCs/>
                <w:sz w:val="16"/>
                <w:szCs w:val="16"/>
                <w:lang w:val="en-CA"/>
              </w:rPr>
              <w:t>Outcome 3.2: Evidence basis produced to design adaptation solutions for maximum impact</w:t>
            </w:r>
          </w:p>
        </w:tc>
        <w:tc>
          <w:tcPr>
            <w:tcW w:w="1456" w:type="dxa"/>
            <w:vMerge w:val="restart"/>
            <w:tcBorders>
              <w:top w:val="nil"/>
              <w:left w:val="single" w:sz="4" w:space="0" w:color="auto"/>
              <w:bottom w:val="nil"/>
              <w:right w:val="single" w:sz="4" w:space="0" w:color="auto"/>
            </w:tcBorders>
            <w:shd w:val="clear" w:color="auto" w:fill="auto"/>
            <w:vAlign w:val="center"/>
            <w:hideMark/>
          </w:tcPr>
          <w:p w14:paraId="3B2C244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Output 3.2.1 Adaptation impact monitoring, evaluation &amp; learning systems established or strengthened for strategic planning and investment</w:t>
            </w:r>
          </w:p>
        </w:tc>
        <w:tc>
          <w:tcPr>
            <w:tcW w:w="1151" w:type="dxa"/>
            <w:vMerge w:val="restart"/>
            <w:tcBorders>
              <w:top w:val="nil"/>
              <w:left w:val="single" w:sz="4" w:space="0" w:color="auto"/>
              <w:bottom w:val="nil"/>
              <w:right w:val="single" w:sz="4" w:space="0" w:color="auto"/>
            </w:tcBorders>
            <w:shd w:val="clear" w:color="auto" w:fill="auto"/>
            <w:vAlign w:val="center"/>
            <w:hideMark/>
          </w:tcPr>
          <w:p w14:paraId="27795439"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UNDP</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74A0D5A9"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66001</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5931B51F"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12526</w:t>
            </w:r>
          </w:p>
        </w:tc>
        <w:tc>
          <w:tcPr>
            <w:tcW w:w="1084" w:type="dxa"/>
            <w:tcBorders>
              <w:top w:val="nil"/>
              <w:left w:val="nil"/>
              <w:bottom w:val="single" w:sz="4" w:space="0" w:color="auto"/>
              <w:right w:val="single" w:sz="4" w:space="0" w:color="auto"/>
            </w:tcBorders>
            <w:shd w:val="clear" w:color="auto" w:fill="auto"/>
            <w:vAlign w:val="center"/>
            <w:hideMark/>
          </w:tcPr>
          <w:p w14:paraId="62FE425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71200</w:t>
            </w:r>
          </w:p>
        </w:tc>
        <w:tc>
          <w:tcPr>
            <w:tcW w:w="1732" w:type="dxa"/>
            <w:tcBorders>
              <w:top w:val="nil"/>
              <w:left w:val="nil"/>
              <w:bottom w:val="single" w:sz="4" w:space="0" w:color="auto"/>
              <w:right w:val="single" w:sz="4" w:space="0" w:color="auto"/>
            </w:tcBorders>
            <w:shd w:val="clear" w:color="auto" w:fill="auto"/>
            <w:vAlign w:val="center"/>
            <w:hideMark/>
          </w:tcPr>
          <w:p w14:paraId="4F44333D"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International</w:t>
            </w:r>
          </w:p>
        </w:tc>
        <w:tc>
          <w:tcPr>
            <w:tcW w:w="758" w:type="dxa"/>
            <w:tcBorders>
              <w:top w:val="nil"/>
              <w:left w:val="nil"/>
              <w:bottom w:val="single" w:sz="4" w:space="0" w:color="auto"/>
              <w:right w:val="single" w:sz="4" w:space="0" w:color="auto"/>
            </w:tcBorders>
            <w:shd w:val="clear" w:color="auto" w:fill="auto"/>
            <w:noWrap/>
            <w:vAlign w:val="center"/>
            <w:hideMark/>
          </w:tcPr>
          <w:p w14:paraId="066E7C0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18,600.00 </w:t>
            </w:r>
          </w:p>
        </w:tc>
        <w:tc>
          <w:tcPr>
            <w:tcW w:w="758" w:type="dxa"/>
            <w:tcBorders>
              <w:top w:val="nil"/>
              <w:left w:val="nil"/>
              <w:bottom w:val="single" w:sz="4" w:space="0" w:color="auto"/>
              <w:right w:val="single" w:sz="4" w:space="0" w:color="auto"/>
            </w:tcBorders>
            <w:shd w:val="clear" w:color="auto" w:fill="auto"/>
            <w:noWrap/>
            <w:vAlign w:val="center"/>
            <w:hideMark/>
          </w:tcPr>
          <w:p w14:paraId="5798323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18,600.00 </w:t>
            </w:r>
          </w:p>
        </w:tc>
        <w:tc>
          <w:tcPr>
            <w:tcW w:w="758" w:type="dxa"/>
            <w:tcBorders>
              <w:top w:val="nil"/>
              <w:left w:val="nil"/>
              <w:bottom w:val="single" w:sz="4" w:space="0" w:color="auto"/>
              <w:right w:val="single" w:sz="4" w:space="0" w:color="auto"/>
            </w:tcBorders>
            <w:shd w:val="clear" w:color="auto" w:fill="auto"/>
            <w:noWrap/>
            <w:vAlign w:val="center"/>
            <w:hideMark/>
          </w:tcPr>
          <w:p w14:paraId="04CA570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12,400.00 </w:t>
            </w:r>
          </w:p>
        </w:tc>
        <w:tc>
          <w:tcPr>
            <w:tcW w:w="758" w:type="dxa"/>
            <w:tcBorders>
              <w:top w:val="nil"/>
              <w:left w:val="nil"/>
              <w:bottom w:val="single" w:sz="4" w:space="0" w:color="auto"/>
              <w:right w:val="single" w:sz="4" w:space="0" w:color="auto"/>
            </w:tcBorders>
            <w:shd w:val="clear" w:color="auto" w:fill="auto"/>
            <w:noWrap/>
            <w:vAlign w:val="center"/>
            <w:hideMark/>
          </w:tcPr>
          <w:p w14:paraId="61783C4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12,400.00 </w:t>
            </w:r>
          </w:p>
        </w:tc>
        <w:tc>
          <w:tcPr>
            <w:tcW w:w="980" w:type="dxa"/>
            <w:tcBorders>
              <w:top w:val="nil"/>
              <w:left w:val="nil"/>
              <w:bottom w:val="single" w:sz="4" w:space="0" w:color="auto"/>
              <w:right w:val="single" w:sz="4" w:space="0" w:color="auto"/>
            </w:tcBorders>
            <w:shd w:val="clear" w:color="auto" w:fill="auto"/>
            <w:noWrap/>
            <w:vAlign w:val="center"/>
            <w:hideMark/>
          </w:tcPr>
          <w:p w14:paraId="5CACEF6B"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62,000.00 </w:t>
            </w:r>
          </w:p>
        </w:tc>
        <w:tc>
          <w:tcPr>
            <w:tcW w:w="647" w:type="dxa"/>
            <w:tcBorders>
              <w:top w:val="nil"/>
              <w:left w:val="nil"/>
              <w:bottom w:val="single" w:sz="4" w:space="0" w:color="auto"/>
              <w:right w:val="single" w:sz="4" w:space="0" w:color="auto"/>
            </w:tcBorders>
            <w:shd w:val="clear" w:color="auto" w:fill="auto"/>
            <w:noWrap/>
            <w:vAlign w:val="center"/>
            <w:hideMark/>
          </w:tcPr>
          <w:p w14:paraId="7169B93B"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S </w:t>
            </w:r>
          </w:p>
        </w:tc>
      </w:tr>
      <w:tr w:rsidR="00086132" w:rsidRPr="00AC0422" w14:paraId="342E1743" w14:textId="77777777" w:rsidTr="00086132">
        <w:trPr>
          <w:trHeight w:val="365"/>
        </w:trPr>
        <w:tc>
          <w:tcPr>
            <w:tcW w:w="1772" w:type="dxa"/>
            <w:vMerge/>
            <w:tcBorders>
              <w:top w:val="nil"/>
              <w:left w:val="nil"/>
              <w:bottom w:val="single" w:sz="8" w:space="0" w:color="000000"/>
              <w:right w:val="nil"/>
            </w:tcBorders>
            <w:vAlign w:val="center"/>
            <w:hideMark/>
          </w:tcPr>
          <w:p w14:paraId="4CB307B5"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0B3B91A2"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074EB664"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71B7D931"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351415D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5E9718F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single" w:sz="4" w:space="0" w:color="auto"/>
              <w:right w:val="single" w:sz="4" w:space="0" w:color="auto"/>
            </w:tcBorders>
            <w:shd w:val="clear" w:color="auto" w:fill="auto"/>
            <w:vAlign w:val="center"/>
            <w:hideMark/>
          </w:tcPr>
          <w:p w14:paraId="65A6CF71"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nil"/>
              <w:left w:val="nil"/>
              <w:bottom w:val="single" w:sz="4" w:space="0" w:color="auto"/>
              <w:right w:val="single" w:sz="4" w:space="0" w:color="auto"/>
            </w:tcBorders>
            <w:shd w:val="clear" w:color="auto" w:fill="auto"/>
            <w:noWrap/>
            <w:vAlign w:val="center"/>
            <w:hideMark/>
          </w:tcPr>
          <w:p w14:paraId="4B7115F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24,900.00 </w:t>
            </w:r>
          </w:p>
        </w:tc>
        <w:tc>
          <w:tcPr>
            <w:tcW w:w="758" w:type="dxa"/>
            <w:tcBorders>
              <w:top w:val="nil"/>
              <w:left w:val="nil"/>
              <w:bottom w:val="single" w:sz="4" w:space="0" w:color="auto"/>
              <w:right w:val="single" w:sz="4" w:space="0" w:color="auto"/>
            </w:tcBorders>
            <w:shd w:val="clear" w:color="auto" w:fill="auto"/>
            <w:noWrap/>
            <w:vAlign w:val="center"/>
            <w:hideMark/>
          </w:tcPr>
          <w:p w14:paraId="4C647E7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24,900.00 </w:t>
            </w:r>
          </w:p>
        </w:tc>
        <w:tc>
          <w:tcPr>
            <w:tcW w:w="758" w:type="dxa"/>
            <w:tcBorders>
              <w:top w:val="nil"/>
              <w:left w:val="nil"/>
              <w:bottom w:val="single" w:sz="4" w:space="0" w:color="auto"/>
              <w:right w:val="single" w:sz="4" w:space="0" w:color="auto"/>
            </w:tcBorders>
            <w:shd w:val="clear" w:color="auto" w:fill="auto"/>
            <w:noWrap/>
            <w:vAlign w:val="center"/>
            <w:hideMark/>
          </w:tcPr>
          <w:p w14:paraId="465598D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16,600.00 </w:t>
            </w:r>
          </w:p>
        </w:tc>
        <w:tc>
          <w:tcPr>
            <w:tcW w:w="758" w:type="dxa"/>
            <w:tcBorders>
              <w:top w:val="nil"/>
              <w:left w:val="nil"/>
              <w:bottom w:val="single" w:sz="4" w:space="0" w:color="auto"/>
              <w:right w:val="single" w:sz="4" w:space="0" w:color="auto"/>
            </w:tcBorders>
            <w:shd w:val="clear" w:color="auto" w:fill="auto"/>
            <w:noWrap/>
            <w:vAlign w:val="center"/>
            <w:hideMark/>
          </w:tcPr>
          <w:p w14:paraId="5CD54D9D"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16,600.00 </w:t>
            </w:r>
          </w:p>
        </w:tc>
        <w:tc>
          <w:tcPr>
            <w:tcW w:w="980" w:type="dxa"/>
            <w:tcBorders>
              <w:top w:val="nil"/>
              <w:left w:val="nil"/>
              <w:bottom w:val="single" w:sz="4" w:space="0" w:color="auto"/>
              <w:right w:val="single" w:sz="4" w:space="0" w:color="auto"/>
            </w:tcBorders>
            <w:shd w:val="clear" w:color="auto" w:fill="auto"/>
            <w:noWrap/>
            <w:vAlign w:val="center"/>
            <w:hideMark/>
          </w:tcPr>
          <w:p w14:paraId="7E0F743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83,000.00 </w:t>
            </w:r>
          </w:p>
        </w:tc>
        <w:tc>
          <w:tcPr>
            <w:tcW w:w="647" w:type="dxa"/>
            <w:tcBorders>
              <w:top w:val="nil"/>
              <w:left w:val="nil"/>
              <w:bottom w:val="single" w:sz="4" w:space="0" w:color="auto"/>
              <w:right w:val="single" w:sz="4" w:space="0" w:color="auto"/>
            </w:tcBorders>
            <w:shd w:val="clear" w:color="auto" w:fill="auto"/>
            <w:noWrap/>
            <w:vAlign w:val="center"/>
            <w:hideMark/>
          </w:tcPr>
          <w:p w14:paraId="31EB8A86"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T </w:t>
            </w:r>
          </w:p>
        </w:tc>
      </w:tr>
      <w:tr w:rsidR="00086132" w:rsidRPr="00AC0422" w14:paraId="26AD82C6" w14:textId="77777777" w:rsidTr="00086132">
        <w:trPr>
          <w:trHeight w:val="365"/>
        </w:trPr>
        <w:tc>
          <w:tcPr>
            <w:tcW w:w="1772" w:type="dxa"/>
            <w:vMerge/>
            <w:tcBorders>
              <w:top w:val="nil"/>
              <w:left w:val="nil"/>
              <w:bottom w:val="single" w:sz="8" w:space="0" w:color="000000"/>
              <w:right w:val="nil"/>
            </w:tcBorders>
            <w:vAlign w:val="center"/>
            <w:hideMark/>
          </w:tcPr>
          <w:p w14:paraId="673F4459"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012DF077"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5A6EA872"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6241057D"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737C7D2D"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09DB0F5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72100</w:t>
            </w:r>
          </w:p>
        </w:tc>
        <w:tc>
          <w:tcPr>
            <w:tcW w:w="1732" w:type="dxa"/>
            <w:tcBorders>
              <w:top w:val="nil"/>
              <w:left w:val="nil"/>
              <w:bottom w:val="single" w:sz="4" w:space="0" w:color="auto"/>
              <w:right w:val="single" w:sz="4" w:space="0" w:color="auto"/>
            </w:tcBorders>
            <w:shd w:val="clear" w:color="auto" w:fill="auto"/>
            <w:vAlign w:val="center"/>
            <w:hideMark/>
          </w:tcPr>
          <w:p w14:paraId="33E8A7AB"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Contractual Services – Companies/Firm</w:t>
            </w:r>
          </w:p>
        </w:tc>
        <w:tc>
          <w:tcPr>
            <w:tcW w:w="758" w:type="dxa"/>
            <w:tcBorders>
              <w:top w:val="nil"/>
              <w:left w:val="nil"/>
              <w:bottom w:val="single" w:sz="4" w:space="0" w:color="auto"/>
              <w:right w:val="single" w:sz="4" w:space="0" w:color="auto"/>
            </w:tcBorders>
            <w:shd w:val="clear" w:color="auto" w:fill="auto"/>
            <w:noWrap/>
            <w:vAlign w:val="center"/>
            <w:hideMark/>
          </w:tcPr>
          <w:p w14:paraId="7F7518E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15,000.00 </w:t>
            </w:r>
          </w:p>
        </w:tc>
        <w:tc>
          <w:tcPr>
            <w:tcW w:w="758" w:type="dxa"/>
            <w:tcBorders>
              <w:top w:val="nil"/>
              <w:left w:val="nil"/>
              <w:bottom w:val="single" w:sz="4" w:space="0" w:color="auto"/>
              <w:right w:val="single" w:sz="4" w:space="0" w:color="auto"/>
            </w:tcBorders>
            <w:shd w:val="clear" w:color="auto" w:fill="auto"/>
            <w:noWrap/>
            <w:vAlign w:val="center"/>
            <w:hideMark/>
          </w:tcPr>
          <w:p w14:paraId="4A48F7D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15,000.00 </w:t>
            </w:r>
          </w:p>
        </w:tc>
        <w:tc>
          <w:tcPr>
            <w:tcW w:w="758" w:type="dxa"/>
            <w:tcBorders>
              <w:top w:val="nil"/>
              <w:left w:val="nil"/>
              <w:bottom w:val="single" w:sz="4" w:space="0" w:color="auto"/>
              <w:right w:val="single" w:sz="4" w:space="0" w:color="auto"/>
            </w:tcBorders>
            <w:shd w:val="clear" w:color="auto" w:fill="auto"/>
            <w:noWrap/>
            <w:vAlign w:val="center"/>
            <w:hideMark/>
          </w:tcPr>
          <w:p w14:paraId="6C5997B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 </w:t>
            </w:r>
          </w:p>
        </w:tc>
        <w:tc>
          <w:tcPr>
            <w:tcW w:w="758" w:type="dxa"/>
            <w:tcBorders>
              <w:top w:val="nil"/>
              <w:left w:val="nil"/>
              <w:bottom w:val="single" w:sz="4" w:space="0" w:color="auto"/>
              <w:right w:val="single" w:sz="4" w:space="0" w:color="auto"/>
            </w:tcBorders>
            <w:shd w:val="clear" w:color="auto" w:fill="auto"/>
            <w:noWrap/>
            <w:vAlign w:val="center"/>
            <w:hideMark/>
          </w:tcPr>
          <w:p w14:paraId="441D93A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 </w:t>
            </w:r>
          </w:p>
        </w:tc>
        <w:tc>
          <w:tcPr>
            <w:tcW w:w="980" w:type="dxa"/>
            <w:tcBorders>
              <w:top w:val="nil"/>
              <w:left w:val="nil"/>
              <w:bottom w:val="single" w:sz="4" w:space="0" w:color="auto"/>
              <w:right w:val="single" w:sz="4" w:space="0" w:color="auto"/>
            </w:tcBorders>
            <w:shd w:val="clear" w:color="auto" w:fill="auto"/>
            <w:noWrap/>
            <w:vAlign w:val="center"/>
            <w:hideMark/>
          </w:tcPr>
          <w:p w14:paraId="3DB56D04"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50,000.00 </w:t>
            </w:r>
          </w:p>
        </w:tc>
        <w:tc>
          <w:tcPr>
            <w:tcW w:w="647" w:type="dxa"/>
            <w:tcBorders>
              <w:top w:val="nil"/>
              <w:left w:val="nil"/>
              <w:bottom w:val="single" w:sz="4" w:space="0" w:color="auto"/>
              <w:right w:val="single" w:sz="4" w:space="0" w:color="auto"/>
            </w:tcBorders>
            <w:shd w:val="clear" w:color="auto" w:fill="auto"/>
            <w:noWrap/>
            <w:vAlign w:val="center"/>
            <w:hideMark/>
          </w:tcPr>
          <w:p w14:paraId="7424110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U </w:t>
            </w:r>
          </w:p>
        </w:tc>
      </w:tr>
      <w:tr w:rsidR="00086132" w:rsidRPr="00AC0422" w14:paraId="72AFBFE1" w14:textId="77777777" w:rsidTr="00086132">
        <w:trPr>
          <w:trHeight w:val="365"/>
        </w:trPr>
        <w:tc>
          <w:tcPr>
            <w:tcW w:w="1772" w:type="dxa"/>
            <w:vMerge/>
            <w:tcBorders>
              <w:top w:val="nil"/>
              <w:left w:val="nil"/>
              <w:bottom w:val="single" w:sz="8" w:space="0" w:color="000000"/>
              <w:right w:val="nil"/>
            </w:tcBorders>
            <w:vAlign w:val="center"/>
            <w:hideMark/>
          </w:tcPr>
          <w:p w14:paraId="697EA1F2"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3A17ADB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396FEF11"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163331C0"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45084CAB"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6A72259E"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75700</w:t>
            </w:r>
          </w:p>
        </w:tc>
        <w:tc>
          <w:tcPr>
            <w:tcW w:w="1732" w:type="dxa"/>
            <w:tcBorders>
              <w:top w:val="nil"/>
              <w:left w:val="nil"/>
              <w:bottom w:val="single" w:sz="4" w:space="0" w:color="auto"/>
              <w:right w:val="single" w:sz="4" w:space="0" w:color="auto"/>
            </w:tcBorders>
            <w:shd w:val="clear" w:color="auto" w:fill="auto"/>
            <w:vAlign w:val="center"/>
            <w:hideMark/>
          </w:tcPr>
          <w:p w14:paraId="381A1503"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Workshop/Training </w:t>
            </w:r>
          </w:p>
        </w:tc>
        <w:tc>
          <w:tcPr>
            <w:tcW w:w="758" w:type="dxa"/>
            <w:tcBorders>
              <w:top w:val="nil"/>
              <w:left w:val="nil"/>
              <w:bottom w:val="single" w:sz="4" w:space="0" w:color="auto"/>
              <w:right w:val="single" w:sz="4" w:space="0" w:color="auto"/>
            </w:tcBorders>
            <w:shd w:val="clear" w:color="auto" w:fill="auto"/>
            <w:noWrap/>
            <w:vAlign w:val="center"/>
            <w:hideMark/>
          </w:tcPr>
          <w:p w14:paraId="5BA4DC2B"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7,500.00 </w:t>
            </w:r>
          </w:p>
        </w:tc>
        <w:tc>
          <w:tcPr>
            <w:tcW w:w="758" w:type="dxa"/>
            <w:tcBorders>
              <w:top w:val="nil"/>
              <w:left w:val="nil"/>
              <w:bottom w:val="single" w:sz="4" w:space="0" w:color="auto"/>
              <w:right w:val="single" w:sz="4" w:space="0" w:color="auto"/>
            </w:tcBorders>
            <w:shd w:val="clear" w:color="auto" w:fill="auto"/>
            <w:noWrap/>
            <w:vAlign w:val="center"/>
            <w:hideMark/>
          </w:tcPr>
          <w:p w14:paraId="5E9F53C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7,500.00 </w:t>
            </w:r>
          </w:p>
        </w:tc>
        <w:tc>
          <w:tcPr>
            <w:tcW w:w="758" w:type="dxa"/>
            <w:tcBorders>
              <w:top w:val="nil"/>
              <w:left w:val="nil"/>
              <w:bottom w:val="single" w:sz="4" w:space="0" w:color="auto"/>
              <w:right w:val="single" w:sz="4" w:space="0" w:color="auto"/>
            </w:tcBorders>
            <w:shd w:val="clear" w:color="auto" w:fill="auto"/>
            <w:noWrap/>
            <w:vAlign w:val="center"/>
            <w:hideMark/>
          </w:tcPr>
          <w:p w14:paraId="215E0AA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5,000.00 </w:t>
            </w:r>
          </w:p>
        </w:tc>
        <w:tc>
          <w:tcPr>
            <w:tcW w:w="758" w:type="dxa"/>
            <w:tcBorders>
              <w:top w:val="nil"/>
              <w:left w:val="nil"/>
              <w:bottom w:val="single" w:sz="4" w:space="0" w:color="auto"/>
              <w:right w:val="single" w:sz="4" w:space="0" w:color="auto"/>
            </w:tcBorders>
            <w:shd w:val="clear" w:color="auto" w:fill="auto"/>
            <w:noWrap/>
            <w:vAlign w:val="center"/>
            <w:hideMark/>
          </w:tcPr>
          <w:p w14:paraId="2FCB913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5,000.00 </w:t>
            </w:r>
          </w:p>
        </w:tc>
        <w:tc>
          <w:tcPr>
            <w:tcW w:w="980" w:type="dxa"/>
            <w:tcBorders>
              <w:top w:val="nil"/>
              <w:left w:val="nil"/>
              <w:bottom w:val="single" w:sz="4" w:space="0" w:color="auto"/>
              <w:right w:val="single" w:sz="4" w:space="0" w:color="auto"/>
            </w:tcBorders>
            <w:shd w:val="clear" w:color="auto" w:fill="auto"/>
            <w:noWrap/>
            <w:vAlign w:val="center"/>
            <w:hideMark/>
          </w:tcPr>
          <w:p w14:paraId="2F8DED8D"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25,000.00 </w:t>
            </w:r>
          </w:p>
        </w:tc>
        <w:tc>
          <w:tcPr>
            <w:tcW w:w="647" w:type="dxa"/>
            <w:tcBorders>
              <w:top w:val="nil"/>
              <w:left w:val="nil"/>
              <w:bottom w:val="single" w:sz="4" w:space="0" w:color="auto"/>
              <w:right w:val="single" w:sz="4" w:space="0" w:color="auto"/>
            </w:tcBorders>
            <w:shd w:val="clear" w:color="auto" w:fill="auto"/>
            <w:noWrap/>
            <w:vAlign w:val="center"/>
            <w:hideMark/>
          </w:tcPr>
          <w:p w14:paraId="72DF118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V, W </w:t>
            </w:r>
          </w:p>
        </w:tc>
      </w:tr>
      <w:tr w:rsidR="00086132" w:rsidRPr="00AC0422" w14:paraId="330A6979" w14:textId="77777777" w:rsidTr="00086132">
        <w:trPr>
          <w:trHeight w:val="365"/>
        </w:trPr>
        <w:tc>
          <w:tcPr>
            <w:tcW w:w="1772" w:type="dxa"/>
            <w:vMerge/>
            <w:tcBorders>
              <w:top w:val="nil"/>
              <w:left w:val="nil"/>
              <w:bottom w:val="single" w:sz="8" w:space="0" w:color="000000"/>
              <w:right w:val="nil"/>
            </w:tcBorders>
            <w:vAlign w:val="center"/>
            <w:hideMark/>
          </w:tcPr>
          <w:p w14:paraId="5B610D27"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3542791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522C651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0C2ECEE4"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7AC3C8C2"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nil"/>
              <w:right w:val="single" w:sz="4" w:space="0" w:color="auto"/>
            </w:tcBorders>
            <w:shd w:val="clear" w:color="auto" w:fill="auto"/>
            <w:vAlign w:val="center"/>
            <w:hideMark/>
          </w:tcPr>
          <w:p w14:paraId="43F9A2B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74200 </w:t>
            </w:r>
          </w:p>
        </w:tc>
        <w:tc>
          <w:tcPr>
            <w:tcW w:w="1732" w:type="dxa"/>
            <w:tcBorders>
              <w:top w:val="nil"/>
              <w:left w:val="nil"/>
              <w:bottom w:val="nil"/>
              <w:right w:val="single" w:sz="4" w:space="0" w:color="auto"/>
            </w:tcBorders>
            <w:shd w:val="clear" w:color="auto" w:fill="auto"/>
            <w:vAlign w:val="center"/>
            <w:hideMark/>
          </w:tcPr>
          <w:p w14:paraId="5AE3A05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Audio Visual &amp; Printing</w:t>
            </w:r>
          </w:p>
        </w:tc>
        <w:tc>
          <w:tcPr>
            <w:tcW w:w="758" w:type="dxa"/>
            <w:tcBorders>
              <w:top w:val="nil"/>
              <w:left w:val="nil"/>
              <w:bottom w:val="nil"/>
              <w:right w:val="single" w:sz="4" w:space="0" w:color="auto"/>
            </w:tcBorders>
            <w:shd w:val="clear" w:color="auto" w:fill="auto"/>
            <w:noWrap/>
            <w:vAlign w:val="center"/>
            <w:hideMark/>
          </w:tcPr>
          <w:p w14:paraId="698B185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2,250.00 </w:t>
            </w:r>
          </w:p>
        </w:tc>
        <w:tc>
          <w:tcPr>
            <w:tcW w:w="758" w:type="dxa"/>
            <w:tcBorders>
              <w:top w:val="nil"/>
              <w:left w:val="nil"/>
              <w:bottom w:val="nil"/>
              <w:right w:val="single" w:sz="4" w:space="0" w:color="auto"/>
            </w:tcBorders>
            <w:shd w:val="clear" w:color="auto" w:fill="auto"/>
            <w:noWrap/>
            <w:vAlign w:val="center"/>
            <w:hideMark/>
          </w:tcPr>
          <w:p w14:paraId="1831FA0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2,250.00 </w:t>
            </w:r>
          </w:p>
        </w:tc>
        <w:tc>
          <w:tcPr>
            <w:tcW w:w="758" w:type="dxa"/>
            <w:tcBorders>
              <w:top w:val="nil"/>
              <w:left w:val="nil"/>
              <w:bottom w:val="nil"/>
              <w:right w:val="single" w:sz="4" w:space="0" w:color="auto"/>
            </w:tcBorders>
            <w:shd w:val="clear" w:color="auto" w:fill="auto"/>
            <w:noWrap/>
            <w:vAlign w:val="center"/>
            <w:hideMark/>
          </w:tcPr>
          <w:p w14:paraId="5050D2E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 </w:t>
            </w:r>
          </w:p>
        </w:tc>
        <w:tc>
          <w:tcPr>
            <w:tcW w:w="758" w:type="dxa"/>
            <w:tcBorders>
              <w:top w:val="nil"/>
              <w:left w:val="nil"/>
              <w:bottom w:val="nil"/>
              <w:right w:val="single" w:sz="4" w:space="0" w:color="auto"/>
            </w:tcBorders>
            <w:shd w:val="clear" w:color="auto" w:fill="auto"/>
            <w:noWrap/>
            <w:vAlign w:val="center"/>
            <w:hideMark/>
          </w:tcPr>
          <w:p w14:paraId="47B6C56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 </w:t>
            </w:r>
          </w:p>
        </w:tc>
        <w:tc>
          <w:tcPr>
            <w:tcW w:w="980" w:type="dxa"/>
            <w:tcBorders>
              <w:top w:val="nil"/>
              <w:left w:val="nil"/>
              <w:bottom w:val="nil"/>
              <w:right w:val="single" w:sz="4" w:space="0" w:color="auto"/>
            </w:tcBorders>
            <w:shd w:val="clear" w:color="auto" w:fill="auto"/>
            <w:noWrap/>
            <w:vAlign w:val="center"/>
            <w:hideMark/>
          </w:tcPr>
          <w:p w14:paraId="49BFB4B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7,500.00 </w:t>
            </w:r>
          </w:p>
        </w:tc>
        <w:tc>
          <w:tcPr>
            <w:tcW w:w="647" w:type="dxa"/>
            <w:tcBorders>
              <w:top w:val="nil"/>
              <w:left w:val="nil"/>
              <w:bottom w:val="nil"/>
              <w:right w:val="single" w:sz="4" w:space="0" w:color="auto"/>
            </w:tcBorders>
            <w:shd w:val="clear" w:color="auto" w:fill="auto"/>
            <w:noWrap/>
            <w:vAlign w:val="center"/>
            <w:hideMark/>
          </w:tcPr>
          <w:p w14:paraId="5A84C870"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X </w:t>
            </w:r>
          </w:p>
        </w:tc>
      </w:tr>
      <w:tr w:rsidR="00086132" w:rsidRPr="00AC0422" w14:paraId="0F9898BF" w14:textId="77777777" w:rsidTr="00086132">
        <w:trPr>
          <w:trHeight w:val="365"/>
        </w:trPr>
        <w:tc>
          <w:tcPr>
            <w:tcW w:w="1772" w:type="dxa"/>
            <w:vMerge/>
            <w:tcBorders>
              <w:top w:val="nil"/>
              <w:left w:val="nil"/>
              <w:bottom w:val="single" w:sz="8" w:space="0" w:color="000000"/>
              <w:right w:val="nil"/>
            </w:tcBorders>
            <w:vAlign w:val="center"/>
            <w:hideMark/>
          </w:tcPr>
          <w:p w14:paraId="317D194E"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5990" w:type="dxa"/>
            <w:gridSpan w:val="5"/>
            <w:tcBorders>
              <w:top w:val="single" w:sz="8" w:space="0" w:color="auto"/>
              <w:left w:val="single" w:sz="8" w:space="0" w:color="auto"/>
              <w:bottom w:val="single" w:sz="8" w:space="0" w:color="auto"/>
              <w:right w:val="single" w:sz="4" w:space="0" w:color="auto"/>
            </w:tcBorders>
            <w:shd w:val="clear" w:color="000000" w:fill="D9D9D9"/>
            <w:vAlign w:val="center"/>
            <w:hideMark/>
          </w:tcPr>
          <w:p w14:paraId="274090B7"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Output 3.2.1</w:t>
            </w:r>
          </w:p>
        </w:tc>
        <w:tc>
          <w:tcPr>
            <w:tcW w:w="1732" w:type="dxa"/>
            <w:tcBorders>
              <w:top w:val="single" w:sz="8" w:space="0" w:color="auto"/>
              <w:left w:val="nil"/>
              <w:bottom w:val="single" w:sz="8" w:space="0" w:color="auto"/>
              <w:right w:val="single" w:sz="4" w:space="0" w:color="auto"/>
            </w:tcBorders>
            <w:shd w:val="clear" w:color="000000" w:fill="E8E8E8"/>
            <w:vAlign w:val="center"/>
            <w:hideMark/>
          </w:tcPr>
          <w:p w14:paraId="72FC8BF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5D92EB4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68,250.00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685A085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68,250.00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60FEFF3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45,500.00 </w:t>
            </w:r>
          </w:p>
        </w:tc>
        <w:tc>
          <w:tcPr>
            <w:tcW w:w="758" w:type="dxa"/>
            <w:tcBorders>
              <w:top w:val="single" w:sz="8" w:space="0" w:color="auto"/>
              <w:left w:val="nil"/>
              <w:bottom w:val="single" w:sz="8" w:space="0" w:color="auto"/>
              <w:right w:val="single" w:sz="4" w:space="0" w:color="auto"/>
            </w:tcBorders>
            <w:shd w:val="clear" w:color="000000" w:fill="E8E8E8"/>
            <w:noWrap/>
            <w:vAlign w:val="center"/>
            <w:hideMark/>
          </w:tcPr>
          <w:p w14:paraId="3191ECB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45,500.00 </w:t>
            </w:r>
          </w:p>
        </w:tc>
        <w:tc>
          <w:tcPr>
            <w:tcW w:w="980" w:type="dxa"/>
            <w:tcBorders>
              <w:top w:val="single" w:sz="8" w:space="0" w:color="auto"/>
              <w:left w:val="nil"/>
              <w:bottom w:val="single" w:sz="8" w:space="0" w:color="auto"/>
              <w:right w:val="single" w:sz="4" w:space="0" w:color="auto"/>
            </w:tcBorders>
            <w:shd w:val="clear" w:color="000000" w:fill="E8E8E8"/>
            <w:noWrap/>
            <w:vAlign w:val="center"/>
            <w:hideMark/>
          </w:tcPr>
          <w:p w14:paraId="463345D4"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227,500.00 </w:t>
            </w:r>
          </w:p>
        </w:tc>
        <w:tc>
          <w:tcPr>
            <w:tcW w:w="647" w:type="dxa"/>
            <w:tcBorders>
              <w:top w:val="single" w:sz="8" w:space="0" w:color="auto"/>
              <w:left w:val="nil"/>
              <w:bottom w:val="single" w:sz="8" w:space="0" w:color="auto"/>
              <w:right w:val="single" w:sz="8" w:space="0" w:color="auto"/>
            </w:tcBorders>
            <w:shd w:val="clear" w:color="000000" w:fill="E8E8E8"/>
            <w:noWrap/>
            <w:vAlign w:val="center"/>
            <w:hideMark/>
          </w:tcPr>
          <w:p w14:paraId="380AC0F0"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41464A91" w14:textId="77777777" w:rsidTr="00086132">
        <w:trPr>
          <w:trHeight w:val="457"/>
        </w:trPr>
        <w:tc>
          <w:tcPr>
            <w:tcW w:w="1772" w:type="dxa"/>
            <w:vMerge/>
            <w:tcBorders>
              <w:top w:val="nil"/>
              <w:left w:val="nil"/>
              <w:bottom w:val="single" w:sz="8" w:space="0" w:color="000000"/>
              <w:right w:val="nil"/>
            </w:tcBorders>
            <w:vAlign w:val="center"/>
            <w:hideMark/>
          </w:tcPr>
          <w:p w14:paraId="6C289DE4"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val="restart"/>
            <w:tcBorders>
              <w:top w:val="nil"/>
              <w:left w:val="single" w:sz="4" w:space="0" w:color="auto"/>
              <w:bottom w:val="nil"/>
              <w:right w:val="single" w:sz="4" w:space="0" w:color="auto"/>
            </w:tcBorders>
            <w:shd w:val="clear" w:color="auto" w:fill="auto"/>
            <w:vAlign w:val="center"/>
            <w:hideMark/>
          </w:tcPr>
          <w:p w14:paraId="6D3E311B"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Output 3.2.2 Studies on climate vulnerability, &amp; identification of adaptation solutions conducted (&amp; used) for strengthening </w:t>
            </w:r>
            <w:r w:rsidRPr="00AC0422">
              <w:rPr>
                <w:rFonts w:asciiTheme="minorHAnsi" w:eastAsia="Times New Roman" w:hAnsiTheme="minorHAnsi" w:cstheme="minorHAnsi"/>
                <w:sz w:val="16"/>
                <w:szCs w:val="16"/>
                <w:lang w:val="en-CA"/>
              </w:rPr>
              <w:lastRenderedPageBreak/>
              <w:t xml:space="preserve">adaptation investment </w:t>
            </w:r>
          </w:p>
        </w:tc>
        <w:tc>
          <w:tcPr>
            <w:tcW w:w="1151" w:type="dxa"/>
            <w:vMerge w:val="restart"/>
            <w:tcBorders>
              <w:top w:val="nil"/>
              <w:left w:val="single" w:sz="4" w:space="0" w:color="auto"/>
              <w:bottom w:val="nil"/>
              <w:right w:val="single" w:sz="4" w:space="0" w:color="auto"/>
            </w:tcBorders>
            <w:shd w:val="clear" w:color="auto" w:fill="auto"/>
            <w:vAlign w:val="center"/>
            <w:hideMark/>
          </w:tcPr>
          <w:p w14:paraId="05EECDA0"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lastRenderedPageBreak/>
              <w:t>UNDP</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35532D7F"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66001</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530527B8"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12526</w:t>
            </w:r>
          </w:p>
        </w:tc>
        <w:tc>
          <w:tcPr>
            <w:tcW w:w="1084" w:type="dxa"/>
            <w:tcBorders>
              <w:top w:val="nil"/>
              <w:left w:val="nil"/>
              <w:bottom w:val="single" w:sz="4" w:space="0" w:color="auto"/>
              <w:right w:val="single" w:sz="4" w:space="0" w:color="auto"/>
            </w:tcBorders>
            <w:shd w:val="clear" w:color="auto" w:fill="auto"/>
            <w:vAlign w:val="center"/>
            <w:hideMark/>
          </w:tcPr>
          <w:p w14:paraId="07D19BB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71200</w:t>
            </w:r>
          </w:p>
        </w:tc>
        <w:tc>
          <w:tcPr>
            <w:tcW w:w="1732" w:type="dxa"/>
            <w:tcBorders>
              <w:top w:val="nil"/>
              <w:left w:val="nil"/>
              <w:bottom w:val="single" w:sz="4" w:space="0" w:color="auto"/>
              <w:right w:val="single" w:sz="4" w:space="0" w:color="auto"/>
            </w:tcBorders>
            <w:shd w:val="clear" w:color="auto" w:fill="auto"/>
            <w:vAlign w:val="center"/>
            <w:hideMark/>
          </w:tcPr>
          <w:p w14:paraId="0F501F4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International</w:t>
            </w:r>
          </w:p>
        </w:tc>
        <w:tc>
          <w:tcPr>
            <w:tcW w:w="758" w:type="dxa"/>
            <w:tcBorders>
              <w:top w:val="nil"/>
              <w:left w:val="nil"/>
              <w:bottom w:val="single" w:sz="4" w:space="0" w:color="auto"/>
              <w:right w:val="single" w:sz="4" w:space="0" w:color="auto"/>
            </w:tcBorders>
            <w:shd w:val="clear" w:color="auto" w:fill="auto"/>
            <w:noWrap/>
            <w:vAlign w:val="center"/>
            <w:hideMark/>
          </w:tcPr>
          <w:p w14:paraId="0FCC2E6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209,000.00 </w:t>
            </w:r>
          </w:p>
        </w:tc>
        <w:tc>
          <w:tcPr>
            <w:tcW w:w="758" w:type="dxa"/>
            <w:tcBorders>
              <w:top w:val="nil"/>
              <w:left w:val="nil"/>
              <w:bottom w:val="single" w:sz="4" w:space="0" w:color="auto"/>
              <w:right w:val="single" w:sz="4" w:space="0" w:color="auto"/>
            </w:tcBorders>
            <w:shd w:val="clear" w:color="auto" w:fill="auto"/>
            <w:noWrap/>
            <w:vAlign w:val="center"/>
            <w:hideMark/>
          </w:tcPr>
          <w:p w14:paraId="271BD4F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167,200.00 </w:t>
            </w:r>
          </w:p>
        </w:tc>
        <w:tc>
          <w:tcPr>
            <w:tcW w:w="758" w:type="dxa"/>
            <w:tcBorders>
              <w:top w:val="nil"/>
              <w:left w:val="nil"/>
              <w:bottom w:val="single" w:sz="4" w:space="0" w:color="auto"/>
              <w:right w:val="single" w:sz="4" w:space="0" w:color="auto"/>
            </w:tcBorders>
            <w:shd w:val="clear" w:color="auto" w:fill="auto"/>
            <w:noWrap/>
            <w:vAlign w:val="center"/>
            <w:hideMark/>
          </w:tcPr>
          <w:p w14:paraId="71C5FB7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41,800.00 </w:t>
            </w:r>
          </w:p>
        </w:tc>
        <w:tc>
          <w:tcPr>
            <w:tcW w:w="758" w:type="dxa"/>
            <w:tcBorders>
              <w:top w:val="nil"/>
              <w:left w:val="nil"/>
              <w:bottom w:val="single" w:sz="4" w:space="0" w:color="auto"/>
              <w:right w:val="single" w:sz="4" w:space="0" w:color="auto"/>
            </w:tcBorders>
            <w:shd w:val="clear" w:color="auto" w:fill="auto"/>
            <w:noWrap/>
            <w:vAlign w:val="center"/>
            <w:hideMark/>
          </w:tcPr>
          <w:p w14:paraId="534E02F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   </w:t>
            </w:r>
          </w:p>
        </w:tc>
        <w:tc>
          <w:tcPr>
            <w:tcW w:w="980" w:type="dxa"/>
            <w:tcBorders>
              <w:top w:val="nil"/>
              <w:left w:val="nil"/>
              <w:bottom w:val="single" w:sz="4" w:space="0" w:color="auto"/>
              <w:right w:val="single" w:sz="4" w:space="0" w:color="auto"/>
            </w:tcBorders>
            <w:shd w:val="clear" w:color="auto" w:fill="auto"/>
            <w:noWrap/>
            <w:vAlign w:val="center"/>
            <w:hideMark/>
          </w:tcPr>
          <w:p w14:paraId="72D490AC"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418,000.00 </w:t>
            </w:r>
          </w:p>
        </w:tc>
        <w:tc>
          <w:tcPr>
            <w:tcW w:w="647" w:type="dxa"/>
            <w:tcBorders>
              <w:top w:val="nil"/>
              <w:left w:val="nil"/>
              <w:bottom w:val="single" w:sz="4" w:space="0" w:color="auto"/>
              <w:right w:val="single" w:sz="4" w:space="0" w:color="auto"/>
            </w:tcBorders>
            <w:shd w:val="clear" w:color="auto" w:fill="auto"/>
            <w:noWrap/>
            <w:vAlign w:val="center"/>
            <w:hideMark/>
          </w:tcPr>
          <w:p w14:paraId="5FBF199B"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Z </w:t>
            </w:r>
          </w:p>
        </w:tc>
      </w:tr>
      <w:tr w:rsidR="00086132" w:rsidRPr="00AC0422" w14:paraId="4423DAD0" w14:textId="77777777" w:rsidTr="00086132">
        <w:trPr>
          <w:trHeight w:val="457"/>
        </w:trPr>
        <w:tc>
          <w:tcPr>
            <w:tcW w:w="1772" w:type="dxa"/>
            <w:vMerge/>
            <w:tcBorders>
              <w:top w:val="nil"/>
              <w:left w:val="nil"/>
              <w:bottom w:val="single" w:sz="8" w:space="0" w:color="000000"/>
              <w:right w:val="nil"/>
            </w:tcBorders>
            <w:vAlign w:val="center"/>
            <w:hideMark/>
          </w:tcPr>
          <w:p w14:paraId="40A76ECC"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725264F1"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5DF773C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7921674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1184857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2400B1D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single" w:sz="4" w:space="0" w:color="auto"/>
              <w:right w:val="single" w:sz="4" w:space="0" w:color="auto"/>
            </w:tcBorders>
            <w:shd w:val="clear" w:color="auto" w:fill="auto"/>
            <w:vAlign w:val="center"/>
            <w:hideMark/>
          </w:tcPr>
          <w:p w14:paraId="49B38B3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nil"/>
              <w:left w:val="nil"/>
              <w:bottom w:val="single" w:sz="4" w:space="0" w:color="auto"/>
              <w:right w:val="single" w:sz="4" w:space="0" w:color="auto"/>
            </w:tcBorders>
            <w:shd w:val="clear" w:color="auto" w:fill="auto"/>
            <w:noWrap/>
            <w:vAlign w:val="center"/>
            <w:hideMark/>
          </w:tcPr>
          <w:p w14:paraId="07F10F2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110,625.00 </w:t>
            </w:r>
          </w:p>
        </w:tc>
        <w:tc>
          <w:tcPr>
            <w:tcW w:w="758" w:type="dxa"/>
            <w:tcBorders>
              <w:top w:val="nil"/>
              <w:left w:val="nil"/>
              <w:bottom w:val="single" w:sz="4" w:space="0" w:color="auto"/>
              <w:right w:val="single" w:sz="4" w:space="0" w:color="auto"/>
            </w:tcBorders>
            <w:shd w:val="clear" w:color="auto" w:fill="auto"/>
            <w:noWrap/>
            <w:vAlign w:val="center"/>
            <w:hideMark/>
          </w:tcPr>
          <w:p w14:paraId="45DF384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88,500.00 </w:t>
            </w:r>
          </w:p>
        </w:tc>
        <w:tc>
          <w:tcPr>
            <w:tcW w:w="758" w:type="dxa"/>
            <w:tcBorders>
              <w:top w:val="nil"/>
              <w:left w:val="nil"/>
              <w:bottom w:val="single" w:sz="4" w:space="0" w:color="auto"/>
              <w:right w:val="single" w:sz="4" w:space="0" w:color="auto"/>
            </w:tcBorders>
            <w:shd w:val="clear" w:color="auto" w:fill="auto"/>
            <w:noWrap/>
            <w:vAlign w:val="center"/>
            <w:hideMark/>
          </w:tcPr>
          <w:p w14:paraId="1F7E4E2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22,125.00 </w:t>
            </w:r>
          </w:p>
        </w:tc>
        <w:tc>
          <w:tcPr>
            <w:tcW w:w="758" w:type="dxa"/>
            <w:tcBorders>
              <w:top w:val="nil"/>
              <w:left w:val="nil"/>
              <w:bottom w:val="single" w:sz="4" w:space="0" w:color="auto"/>
              <w:right w:val="single" w:sz="4" w:space="0" w:color="auto"/>
            </w:tcBorders>
            <w:shd w:val="clear" w:color="auto" w:fill="auto"/>
            <w:noWrap/>
            <w:vAlign w:val="center"/>
            <w:hideMark/>
          </w:tcPr>
          <w:p w14:paraId="4B89635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   </w:t>
            </w:r>
          </w:p>
        </w:tc>
        <w:tc>
          <w:tcPr>
            <w:tcW w:w="980" w:type="dxa"/>
            <w:tcBorders>
              <w:top w:val="nil"/>
              <w:left w:val="nil"/>
              <w:bottom w:val="single" w:sz="4" w:space="0" w:color="auto"/>
              <w:right w:val="single" w:sz="4" w:space="0" w:color="auto"/>
            </w:tcBorders>
            <w:shd w:val="clear" w:color="auto" w:fill="auto"/>
            <w:noWrap/>
            <w:vAlign w:val="center"/>
            <w:hideMark/>
          </w:tcPr>
          <w:p w14:paraId="70B508B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221,250.00 </w:t>
            </w:r>
          </w:p>
        </w:tc>
        <w:tc>
          <w:tcPr>
            <w:tcW w:w="647" w:type="dxa"/>
            <w:tcBorders>
              <w:top w:val="nil"/>
              <w:left w:val="nil"/>
              <w:bottom w:val="single" w:sz="4" w:space="0" w:color="auto"/>
              <w:right w:val="single" w:sz="4" w:space="0" w:color="auto"/>
            </w:tcBorders>
            <w:shd w:val="clear" w:color="auto" w:fill="auto"/>
            <w:noWrap/>
            <w:vAlign w:val="center"/>
            <w:hideMark/>
          </w:tcPr>
          <w:p w14:paraId="6C1D8929"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AA </w:t>
            </w:r>
          </w:p>
        </w:tc>
      </w:tr>
      <w:tr w:rsidR="00086132" w:rsidRPr="00AC0422" w14:paraId="61D64ADF" w14:textId="77777777" w:rsidTr="00086132">
        <w:trPr>
          <w:trHeight w:val="457"/>
        </w:trPr>
        <w:tc>
          <w:tcPr>
            <w:tcW w:w="1772" w:type="dxa"/>
            <w:vMerge/>
            <w:tcBorders>
              <w:top w:val="nil"/>
              <w:left w:val="nil"/>
              <w:bottom w:val="single" w:sz="8" w:space="0" w:color="000000"/>
              <w:right w:val="nil"/>
            </w:tcBorders>
            <w:vAlign w:val="center"/>
            <w:hideMark/>
          </w:tcPr>
          <w:p w14:paraId="2E8E2D36"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1F694DAE"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25D5D69E"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17972D0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1DA7909B"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40635816"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75700</w:t>
            </w:r>
          </w:p>
        </w:tc>
        <w:tc>
          <w:tcPr>
            <w:tcW w:w="1732" w:type="dxa"/>
            <w:tcBorders>
              <w:top w:val="nil"/>
              <w:left w:val="nil"/>
              <w:bottom w:val="single" w:sz="4" w:space="0" w:color="auto"/>
              <w:right w:val="single" w:sz="4" w:space="0" w:color="auto"/>
            </w:tcBorders>
            <w:shd w:val="clear" w:color="auto" w:fill="auto"/>
            <w:vAlign w:val="center"/>
            <w:hideMark/>
          </w:tcPr>
          <w:p w14:paraId="3E370C4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Workshop/Training </w:t>
            </w:r>
          </w:p>
        </w:tc>
        <w:tc>
          <w:tcPr>
            <w:tcW w:w="758" w:type="dxa"/>
            <w:tcBorders>
              <w:top w:val="nil"/>
              <w:left w:val="nil"/>
              <w:bottom w:val="single" w:sz="4" w:space="0" w:color="auto"/>
              <w:right w:val="single" w:sz="4" w:space="0" w:color="auto"/>
            </w:tcBorders>
            <w:shd w:val="clear" w:color="auto" w:fill="auto"/>
            <w:noWrap/>
            <w:vAlign w:val="center"/>
            <w:hideMark/>
          </w:tcPr>
          <w:p w14:paraId="60DFA45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22,500.00 </w:t>
            </w:r>
          </w:p>
        </w:tc>
        <w:tc>
          <w:tcPr>
            <w:tcW w:w="758" w:type="dxa"/>
            <w:tcBorders>
              <w:top w:val="nil"/>
              <w:left w:val="nil"/>
              <w:bottom w:val="single" w:sz="4" w:space="0" w:color="auto"/>
              <w:right w:val="single" w:sz="4" w:space="0" w:color="auto"/>
            </w:tcBorders>
            <w:shd w:val="clear" w:color="auto" w:fill="auto"/>
            <w:noWrap/>
            <w:vAlign w:val="center"/>
            <w:hideMark/>
          </w:tcPr>
          <w:p w14:paraId="7EAF6FB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18,000.00 </w:t>
            </w:r>
          </w:p>
        </w:tc>
        <w:tc>
          <w:tcPr>
            <w:tcW w:w="758" w:type="dxa"/>
            <w:tcBorders>
              <w:top w:val="nil"/>
              <w:left w:val="nil"/>
              <w:bottom w:val="single" w:sz="4" w:space="0" w:color="auto"/>
              <w:right w:val="single" w:sz="4" w:space="0" w:color="auto"/>
            </w:tcBorders>
            <w:shd w:val="clear" w:color="auto" w:fill="auto"/>
            <w:noWrap/>
            <w:vAlign w:val="center"/>
            <w:hideMark/>
          </w:tcPr>
          <w:p w14:paraId="2B5CE95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4,500.00 </w:t>
            </w:r>
          </w:p>
        </w:tc>
        <w:tc>
          <w:tcPr>
            <w:tcW w:w="758" w:type="dxa"/>
            <w:tcBorders>
              <w:top w:val="nil"/>
              <w:left w:val="nil"/>
              <w:bottom w:val="single" w:sz="4" w:space="0" w:color="auto"/>
              <w:right w:val="single" w:sz="4" w:space="0" w:color="auto"/>
            </w:tcBorders>
            <w:shd w:val="clear" w:color="auto" w:fill="auto"/>
            <w:noWrap/>
            <w:vAlign w:val="center"/>
            <w:hideMark/>
          </w:tcPr>
          <w:p w14:paraId="266F804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   </w:t>
            </w:r>
          </w:p>
        </w:tc>
        <w:tc>
          <w:tcPr>
            <w:tcW w:w="980" w:type="dxa"/>
            <w:tcBorders>
              <w:top w:val="nil"/>
              <w:left w:val="nil"/>
              <w:bottom w:val="single" w:sz="4" w:space="0" w:color="auto"/>
              <w:right w:val="single" w:sz="4" w:space="0" w:color="auto"/>
            </w:tcBorders>
            <w:shd w:val="clear" w:color="auto" w:fill="auto"/>
            <w:noWrap/>
            <w:vAlign w:val="center"/>
            <w:hideMark/>
          </w:tcPr>
          <w:p w14:paraId="1E97D717"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45,000.00 </w:t>
            </w:r>
          </w:p>
        </w:tc>
        <w:tc>
          <w:tcPr>
            <w:tcW w:w="647" w:type="dxa"/>
            <w:tcBorders>
              <w:top w:val="nil"/>
              <w:left w:val="nil"/>
              <w:bottom w:val="single" w:sz="4" w:space="0" w:color="auto"/>
              <w:right w:val="single" w:sz="4" w:space="0" w:color="auto"/>
            </w:tcBorders>
            <w:shd w:val="clear" w:color="auto" w:fill="auto"/>
            <w:noWrap/>
            <w:vAlign w:val="center"/>
            <w:hideMark/>
          </w:tcPr>
          <w:p w14:paraId="42235DE7"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AB </w:t>
            </w:r>
          </w:p>
        </w:tc>
      </w:tr>
      <w:tr w:rsidR="00086132" w:rsidRPr="00AC0422" w14:paraId="2E4683FC" w14:textId="77777777" w:rsidTr="00086132">
        <w:trPr>
          <w:trHeight w:val="457"/>
        </w:trPr>
        <w:tc>
          <w:tcPr>
            <w:tcW w:w="1772" w:type="dxa"/>
            <w:vMerge/>
            <w:tcBorders>
              <w:top w:val="nil"/>
              <w:left w:val="nil"/>
              <w:bottom w:val="single" w:sz="8" w:space="0" w:color="000000"/>
              <w:right w:val="nil"/>
            </w:tcBorders>
            <w:vAlign w:val="center"/>
            <w:hideMark/>
          </w:tcPr>
          <w:p w14:paraId="750332B0"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16BC7670"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57185AC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5C5ECDE5"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3C0DA8F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7318500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72100</w:t>
            </w:r>
          </w:p>
        </w:tc>
        <w:tc>
          <w:tcPr>
            <w:tcW w:w="1732" w:type="dxa"/>
            <w:tcBorders>
              <w:top w:val="nil"/>
              <w:left w:val="nil"/>
              <w:bottom w:val="single" w:sz="4" w:space="0" w:color="auto"/>
              <w:right w:val="single" w:sz="4" w:space="0" w:color="auto"/>
            </w:tcBorders>
            <w:shd w:val="clear" w:color="auto" w:fill="auto"/>
            <w:vAlign w:val="center"/>
            <w:hideMark/>
          </w:tcPr>
          <w:p w14:paraId="06C38BF1"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Contractual Services – Companies/Firm</w:t>
            </w:r>
          </w:p>
        </w:tc>
        <w:tc>
          <w:tcPr>
            <w:tcW w:w="758" w:type="dxa"/>
            <w:tcBorders>
              <w:top w:val="nil"/>
              <w:left w:val="nil"/>
              <w:bottom w:val="single" w:sz="4" w:space="0" w:color="auto"/>
              <w:right w:val="single" w:sz="4" w:space="0" w:color="auto"/>
            </w:tcBorders>
            <w:shd w:val="clear" w:color="auto" w:fill="auto"/>
            <w:noWrap/>
            <w:vAlign w:val="center"/>
            <w:hideMark/>
          </w:tcPr>
          <w:p w14:paraId="16DC5D3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71,500.00 </w:t>
            </w:r>
          </w:p>
        </w:tc>
        <w:tc>
          <w:tcPr>
            <w:tcW w:w="758" w:type="dxa"/>
            <w:tcBorders>
              <w:top w:val="nil"/>
              <w:left w:val="nil"/>
              <w:bottom w:val="single" w:sz="4" w:space="0" w:color="auto"/>
              <w:right w:val="single" w:sz="4" w:space="0" w:color="auto"/>
            </w:tcBorders>
            <w:shd w:val="clear" w:color="auto" w:fill="auto"/>
            <w:noWrap/>
            <w:vAlign w:val="center"/>
            <w:hideMark/>
          </w:tcPr>
          <w:p w14:paraId="1EF0D77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57,200.00 </w:t>
            </w:r>
          </w:p>
        </w:tc>
        <w:tc>
          <w:tcPr>
            <w:tcW w:w="758" w:type="dxa"/>
            <w:tcBorders>
              <w:top w:val="nil"/>
              <w:left w:val="nil"/>
              <w:bottom w:val="single" w:sz="4" w:space="0" w:color="auto"/>
              <w:right w:val="single" w:sz="4" w:space="0" w:color="auto"/>
            </w:tcBorders>
            <w:shd w:val="clear" w:color="auto" w:fill="auto"/>
            <w:noWrap/>
            <w:vAlign w:val="center"/>
            <w:hideMark/>
          </w:tcPr>
          <w:p w14:paraId="18865A2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14,300.00 </w:t>
            </w:r>
          </w:p>
        </w:tc>
        <w:tc>
          <w:tcPr>
            <w:tcW w:w="758" w:type="dxa"/>
            <w:tcBorders>
              <w:top w:val="nil"/>
              <w:left w:val="nil"/>
              <w:bottom w:val="single" w:sz="4" w:space="0" w:color="auto"/>
              <w:right w:val="single" w:sz="4" w:space="0" w:color="auto"/>
            </w:tcBorders>
            <w:shd w:val="clear" w:color="auto" w:fill="auto"/>
            <w:noWrap/>
            <w:vAlign w:val="center"/>
            <w:hideMark/>
          </w:tcPr>
          <w:p w14:paraId="753C676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   </w:t>
            </w:r>
          </w:p>
        </w:tc>
        <w:tc>
          <w:tcPr>
            <w:tcW w:w="980" w:type="dxa"/>
            <w:tcBorders>
              <w:top w:val="nil"/>
              <w:left w:val="nil"/>
              <w:bottom w:val="single" w:sz="4" w:space="0" w:color="auto"/>
              <w:right w:val="single" w:sz="4" w:space="0" w:color="auto"/>
            </w:tcBorders>
            <w:shd w:val="clear" w:color="auto" w:fill="auto"/>
            <w:noWrap/>
            <w:vAlign w:val="center"/>
            <w:hideMark/>
          </w:tcPr>
          <w:p w14:paraId="2958865C"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143,000.00 </w:t>
            </w:r>
          </w:p>
        </w:tc>
        <w:tc>
          <w:tcPr>
            <w:tcW w:w="647" w:type="dxa"/>
            <w:tcBorders>
              <w:top w:val="nil"/>
              <w:left w:val="nil"/>
              <w:bottom w:val="single" w:sz="4" w:space="0" w:color="auto"/>
              <w:right w:val="single" w:sz="4" w:space="0" w:color="auto"/>
            </w:tcBorders>
            <w:shd w:val="clear" w:color="auto" w:fill="auto"/>
            <w:noWrap/>
            <w:vAlign w:val="center"/>
            <w:hideMark/>
          </w:tcPr>
          <w:p w14:paraId="44272F1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AC </w:t>
            </w:r>
          </w:p>
        </w:tc>
      </w:tr>
      <w:tr w:rsidR="00086132" w:rsidRPr="00AC0422" w14:paraId="3BFD33B3" w14:textId="77777777" w:rsidTr="00086132">
        <w:trPr>
          <w:trHeight w:val="457"/>
        </w:trPr>
        <w:tc>
          <w:tcPr>
            <w:tcW w:w="1772" w:type="dxa"/>
            <w:vMerge/>
            <w:tcBorders>
              <w:top w:val="nil"/>
              <w:left w:val="nil"/>
              <w:bottom w:val="single" w:sz="8" w:space="0" w:color="000000"/>
              <w:right w:val="nil"/>
            </w:tcBorders>
            <w:vAlign w:val="center"/>
            <w:hideMark/>
          </w:tcPr>
          <w:p w14:paraId="62423356"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20B84D7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597FFB22"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1DD236B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2489215C"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nil"/>
              <w:right w:val="single" w:sz="4" w:space="0" w:color="auto"/>
            </w:tcBorders>
            <w:shd w:val="clear" w:color="auto" w:fill="auto"/>
            <w:vAlign w:val="center"/>
            <w:hideMark/>
          </w:tcPr>
          <w:p w14:paraId="3BD17FF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72800</w:t>
            </w:r>
          </w:p>
        </w:tc>
        <w:tc>
          <w:tcPr>
            <w:tcW w:w="1732" w:type="dxa"/>
            <w:tcBorders>
              <w:top w:val="nil"/>
              <w:left w:val="nil"/>
              <w:bottom w:val="nil"/>
              <w:right w:val="single" w:sz="4" w:space="0" w:color="auto"/>
            </w:tcBorders>
            <w:shd w:val="clear" w:color="auto" w:fill="auto"/>
            <w:vAlign w:val="center"/>
            <w:hideMark/>
          </w:tcPr>
          <w:p w14:paraId="6F2713C0"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IT Equipment</w:t>
            </w:r>
          </w:p>
        </w:tc>
        <w:tc>
          <w:tcPr>
            <w:tcW w:w="758" w:type="dxa"/>
            <w:tcBorders>
              <w:top w:val="nil"/>
              <w:left w:val="nil"/>
              <w:bottom w:val="nil"/>
              <w:right w:val="single" w:sz="4" w:space="0" w:color="auto"/>
            </w:tcBorders>
            <w:shd w:val="clear" w:color="auto" w:fill="auto"/>
            <w:noWrap/>
            <w:vAlign w:val="center"/>
            <w:hideMark/>
          </w:tcPr>
          <w:p w14:paraId="492D919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 </w:t>
            </w:r>
          </w:p>
        </w:tc>
        <w:tc>
          <w:tcPr>
            <w:tcW w:w="758" w:type="dxa"/>
            <w:tcBorders>
              <w:top w:val="nil"/>
              <w:left w:val="nil"/>
              <w:bottom w:val="nil"/>
              <w:right w:val="single" w:sz="4" w:space="0" w:color="auto"/>
            </w:tcBorders>
            <w:shd w:val="clear" w:color="auto" w:fill="auto"/>
            <w:noWrap/>
            <w:vAlign w:val="center"/>
            <w:hideMark/>
          </w:tcPr>
          <w:p w14:paraId="7437AD8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8,000.00 </w:t>
            </w:r>
          </w:p>
        </w:tc>
        <w:tc>
          <w:tcPr>
            <w:tcW w:w="758" w:type="dxa"/>
            <w:tcBorders>
              <w:top w:val="nil"/>
              <w:left w:val="nil"/>
              <w:bottom w:val="nil"/>
              <w:right w:val="single" w:sz="4" w:space="0" w:color="auto"/>
            </w:tcBorders>
            <w:shd w:val="clear" w:color="auto" w:fill="auto"/>
            <w:noWrap/>
            <w:vAlign w:val="center"/>
            <w:hideMark/>
          </w:tcPr>
          <w:p w14:paraId="1708825D"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2,000.00 </w:t>
            </w:r>
          </w:p>
        </w:tc>
        <w:tc>
          <w:tcPr>
            <w:tcW w:w="758" w:type="dxa"/>
            <w:tcBorders>
              <w:top w:val="nil"/>
              <w:left w:val="nil"/>
              <w:bottom w:val="nil"/>
              <w:right w:val="single" w:sz="4" w:space="0" w:color="auto"/>
            </w:tcBorders>
            <w:shd w:val="clear" w:color="auto" w:fill="auto"/>
            <w:noWrap/>
            <w:vAlign w:val="center"/>
            <w:hideMark/>
          </w:tcPr>
          <w:p w14:paraId="3C7DE25B"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   </w:t>
            </w:r>
          </w:p>
        </w:tc>
        <w:tc>
          <w:tcPr>
            <w:tcW w:w="980" w:type="dxa"/>
            <w:tcBorders>
              <w:top w:val="nil"/>
              <w:left w:val="nil"/>
              <w:bottom w:val="nil"/>
              <w:right w:val="single" w:sz="4" w:space="0" w:color="auto"/>
            </w:tcBorders>
            <w:shd w:val="clear" w:color="auto" w:fill="auto"/>
            <w:noWrap/>
            <w:vAlign w:val="center"/>
            <w:hideMark/>
          </w:tcPr>
          <w:p w14:paraId="44619C3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20,000.00 </w:t>
            </w:r>
          </w:p>
        </w:tc>
        <w:tc>
          <w:tcPr>
            <w:tcW w:w="647" w:type="dxa"/>
            <w:tcBorders>
              <w:top w:val="nil"/>
              <w:left w:val="nil"/>
              <w:bottom w:val="nil"/>
              <w:right w:val="single" w:sz="4" w:space="0" w:color="auto"/>
            </w:tcBorders>
            <w:shd w:val="clear" w:color="auto" w:fill="auto"/>
            <w:noWrap/>
            <w:vAlign w:val="center"/>
            <w:hideMark/>
          </w:tcPr>
          <w:p w14:paraId="6FB2DE0B"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AD </w:t>
            </w:r>
          </w:p>
        </w:tc>
      </w:tr>
      <w:tr w:rsidR="00086132" w:rsidRPr="00AC0422" w14:paraId="02A203E8" w14:textId="77777777" w:rsidTr="00086132">
        <w:trPr>
          <w:trHeight w:val="457"/>
        </w:trPr>
        <w:tc>
          <w:tcPr>
            <w:tcW w:w="1772" w:type="dxa"/>
            <w:vMerge/>
            <w:tcBorders>
              <w:top w:val="nil"/>
              <w:left w:val="nil"/>
              <w:bottom w:val="single" w:sz="8" w:space="0" w:color="000000"/>
              <w:right w:val="nil"/>
            </w:tcBorders>
            <w:vAlign w:val="center"/>
            <w:hideMark/>
          </w:tcPr>
          <w:p w14:paraId="7BB51C7C"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5990" w:type="dxa"/>
            <w:gridSpan w:val="5"/>
            <w:tcBorders>
              <w:top w:val="single" w:sz="8" w:space="0" w:color="auto"/>
              <w:left w:val="single" w:sz="8" w:space="0" w:color="auto"/>
              <w:bottom w:val="nil"/>
              <w:right w:val="single" w:sz="4" w:space="0" w:color="auto"/>
            </w:tcBorders>
            <w:shd w:val="clear" w:color="000000" w:fill="D9D9D9"/>
            <w:vAlign w:val="center"/>
            <w:hideMark/>
          </w:tcPr>
          <w:p w14:paraId="6E12C5AB"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Output 3.2.2</w:t>
            </w:r>
          </w:p>
        </w:tc>
        <w:tc>
          <w:tcPr>
            <w:tcW w:w="1732" w:type="dxa"/>
            <w:tcBorders>
              <w:top w:val="single" w:sz="8" w:space="0" w:color="auto"/>
              <w:left w:val="nil"/>
              <w:bottom w:val="nil"/>
              <w:right w:val="single" w:sz="4" w:space="0" w:color="auto"/>
            </w:tcBorders>
            <w:shd w:val="clear" w:color="000000" w:fill="D9D9D9"/>
            <w:vAlign w:val="center"/>
            <w:hideMark/>
          </w:tcPr>
          <w:p w14:paraId="61361E4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nil"/>
              <w:right w:val="single" w:sz="4" w:space="0" w:color="auto"/>
            </w:tcBorders>
            <w:shd w:val="clear" w:color="000000" w:fill="D9D9D9"/>
            <w:noWrap/>
            <w:vAlign w:val="center"/>
            <w:hideMark/>
          </w:tcPr>
          <w:p w14:paraId="7434EFB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423,625.00 </w:t>
            </w:r>
          </w:p>
        </w:tc>
        <w:tc>
          <w:tcPr>
            <w:tcW w:w="758" w:type="dxa"/>
            <w:tcBorders>
              <w:top w:val="single" w:sz="8" w:space="0" w:color="auto"/>
              <w:left w:val="nil"/>
              <w:bottom w:val="nil"/>
              <w:right w:val="single" w:sz="4" w:space="0" w:color="auto"/>
            </w:tcBorders>
            <w:shd w:val="clear" w:color="000000" w:fill="D9D9D9"/>
            <w:noWrap/>
            <w:vAlign w:val="center"/>
            <w:hideMark/>
          </w:tcPr>
          <w:p w14:paraId="2DDE5DA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338,900.00 </w:t>
            </w:r>
          </w:p>
        </w:tc>
        <w:tc>
          <w:tcPr>
            <w:tcW w:w="758" w:type="dxa"/>
            <w:tcBorders>
              <w:top w:val="single" w:sz="8" w:space="0" w:color="auto"/>
              <w:left w:val="nil"/>
              <w:bottom w:val="nil"/>
              <w:right w:val="single" w:sz="4" w:space="0" w:color="auto"/>
            </w:tcBorders>
            <w:shd w:val="clear" w:color="000000" w:fill="D9D9D9"/>
            <w:noWrap/>
            <w:vAlign w:val="center"/>
            <w:hideMark/>
          </w:tcPr>
          <w:p w14:paraId="46BCE09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84,725.00 </w:t>
            </w:r>
          </w:p>
        </w:tc>
        <w:tc>
          <w:tcPr>
            <w:tcW w:w="758" w:type="dxa"/>
            <w:tcBorders>
              <w:top w:val="single" w:sz="8" w:space="0" w:color="auto"/>
              <w:left w:val="nil"/>
              <w:bottom w:val="nil"/>
              <w:right w:val="single" w:sz="4" w:space="0" w:color="auto"/>
            </w:tcBorders>
            <w:shd w:val="clear" w:color="000000" w:fill="D9D9D9"/>
            <w:noWrap/>
            <w:vAlign w:val="center"/>
            <w:hideMark/>
          </w:tcPr>
          <w:p w14:paraId="570198F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   </w:t>
            </w:r>
          </w:p>
        </w:tc>
        <w:tc>
          <w:tcPr>
            <w:tcW w:w="980" w:type="dxa"/>
            <w:tcBorders>
              <w:top w:val="single" w:sz="8" w:space="0" w:color="auto"/>
              <w:left w:val="nil"/>
              <w:bottom w:val="nil"/>
              <w:right w:val="single" w:sz="4" w:space="0" w:color="auto"/>
            </w:tcBorders>
            <w:shd w:val="clear" w:color="000000" w:fill="D9D9D9"/>
            <w:noWrap/>
            <w:vAlign w:val="center"/>
            <w:hideMark/>
          </w:tcPr>
          <w:p w14:paraId="735507FA"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847,250.00 </w:t>
            </w:r>
          </w:p>
        </w:tc>
        <w:tc>
          <w:tcPr>
            <w:tcW w:w="647" w:type="dxa"/>
            <w:tcBorders>
              <w:top w:val="single" w:sz="8" w:space="0" w:color="auto"/>
              <w:left w:val="nil"/>
              <w:bottom w:val="nil"/>
              <w:right w:val="single" w:sz="8" w:space="0" w:color="auto"/>
            </w:tcBorders>
            <w:shd w:val="clear" w:color="000000" w:fill="D9D9D9"/>
            <w:noWrap/>
            <w:vAlign w:val="center"/>
            <w:hideMark/>
          </w:tcPr>
          <w:p w14:paraId="201FE507"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08E8F640" w14:textId="77777777" w:rsidTr="00086132">
        <w:trPr>
          <w:trHeight w:val="457"/>
        </w:trPr>
        <w:tc>
          <w:tcPr>
            <w:tcW w:w="7762" w:type="dxa"/>
            <w:gridSpan w:val="6"/>
            <w:tcBorders>
              <w:top w:val="single" w:sz="8" w:space="0" w:color="auto"/>
              <w:left w:val="nil"/>
              <w:bottom w:val="single" w:sz="8" w:space="0" w:color="auto"/>
              <w:right w:val="single" w:sz="4" w:space="0" w:color="auto"/>
            </w:tcBorders>
            <w:shd w:val="clear" w:color="000000" w:fill="DEEDCB"/>
            <w:vAlign w:val="center"/>
            <w:hideMark/>
          </w:tcPr>
          <w:p w14:paraId="1C7C7DE7"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Outcome 3.2</w:t>
            </w:r>
          </w:p>
        </w:tc>
        <w:tc>
          <w:tcPr>
            <w:tcW w:w="1732" w:type="dxa"/>
            <w:tcBorders>
              <w:top w:val="single" w:sz="8" w:space="0" w:color="auto"/>
              <w:left w:val="nil"/>
              <w:bottom w:val="single" w:sz="8" w:space="0" w:color="auto"/>
              <w:right w:val="single" w:sz="4" w:space="0" w:color="auto"/>
            </w:tcBorders>
            <w:shd w:val="clear" w:color="000000" w:fill="DEEDCB"/>
            <w:vAlign w:val="center"/>
            <w:hideMark/>
          </w:tcPr>
          <w:p w14:paraId="6EF6B73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09E0E2CD"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491,875.00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1369902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407,150.00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53CB7B5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130,225.00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404860C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45,500.00 </w:t>
            </w:r>
          </w:p>
        </w:tc>
        <w:tc>
          <w:tcPr>
            <w:tcW w:w="980" w:type="dxa"/>
            <w:tcBorders>
              <w:top w:val="single" w:sz="8" w:space="0" w:color="auto"/>
              <w:left w:val="nil"/>
              <w:bottom w:val="single" w:sz="8" w:space="0" w:color="auto"/>
              <w:right w:val="single" w:sz="4" w:space="0" w:color="auto"/>
            </w:tcBorders>
            <w:shd w:val="clear" w:color="000000" w:fill="DEEDCB"/>
            <w:noWrap/>
            <w:vAlign w:val="center"/>
            <w:hideMark/>
          </w:tcPr>
          <w:p w14:paraId="33B64CEC"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1,074,750.00 </w:t>
            </w:r>
          </w:p>
        </w:tc>
        <w:tc>
          <w:tcPr>
            <w:tcW w:w="647" w:type="dxa"/>
            <w:tcBorders>
              <w:top w:val="single" w:sz="8" w:space="0" w:color="auto"/>
              <w:left w:val="nil"/>
              <w:bottom w:val="single" w:sz="8" w:space="0" w:color="auto"/>
              <w:right w:val="single" w:sz="8" w:space="0" w:color="auto"/>
            </w:tcBorders>
            <w:shd w:val="clear" w:color="000000" w:fill="DEEDCB"/>
            <w:noWrap/>
            <w:vAlign w:val="center"/>
            <w:hideMark/>
          </w:tcPr>
          <w:p w14:paraId="73B1D944"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16CD1859" w14:textId="77777777" w:rsidTr="00086132">
        <w:trPr>
          <w:trHeight w:val="579"/>
        </w:trPr>
        <w:tc>
          <w:tcPr>
            <w:tcW w:w="1772" w:type="dxa"/>
            <w:vMerge w:val="restart"/>
            <w:tcBorders>
              <w:top w:val="nil"/>
              <w:left w:val="nil"/>
              <w:bottom w:val="nil"/>
              <w:right w:val="nil"/>
            </w:tcBorders>
            <w:shd w:val="clear" w:color="000000" w:fill="CEDBE6"/>
            <w:vAlign w:val="center"/>
            <w:hideMark/>
          </w:tcPr>
          <w:p w14:paraId="6C3BA1FB" w14:textId="77777777" w:rsidR="00086132" w:rsidRPr="00AC0422" w:rsidRDefault="00086132" w:rsidP="00086132">
            <w:pPr>
              <w:spacing w:after="0"/>
              <w:jc w:val="center"/>
              <w:rPr>
                <w:rFonts w:asciiTheme="minorHAnsi" w:eastAsia="Times New Roman" w:hAnsiTheme="minorHAnsi" w:cstheme="minorHAnsi"/>
                <w:b/>
                <w:bCs/>
                <w:sz w:val="16"/>
                <w:szCs w:val="16"/>
                <w:lang w:val="en-CA"/>
              </w:rPr>
            </w:pPr>
            <w:r w:rsidRPr="00AC0422">
              <w:rPr>
                <w:rFonts w:asciiTheme="minorHAnsi" w:eastAsia="Times New Roman" w:hAnsiTheme="minorHAnsi" w:cstheme="minorHAnsi"/>
                <w:b/>
                <w:bCs/>
                <w:sz w:val="16"/>
                <w:szCs w:val="16"/>
                <w:lang w:val="en-CA"/>
              </w:rPr>
              <w:t>Outcome 3.4. Adaptation finance increased </w:t>
            </w:r>
          </w:p>
        </w:tc>
        <w:tc>
          <w:tcPr>
            <w:tcW w:w="1456" w:type="dxa"/>
            <w:vMerge w:val="restart"/>
            <w:tcBorders>
              <w:top w:val="nil"/>
              <w:left w:val="single" w:sz="4" w:space="0" w:color="auto"/>
              <w:bottom w:val="nil"/>
              <w:right w:val="single" w:sz="4" w:space="0" w:color="auto"/>
            </w:tcBorders>
            <w:shd w:val="clear" w:color="auto" w:fill="auto"/>
            <w:vAlign w:val="center"/>
            <w:hideMark/>
          </w:tcPr>
          <w:p w14:paraId="46C204E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Output 3.4.2 Number of concept notes and/or funding proposals developed for adaptation priority actions</w:t>
            </w:r>
          </w:p>
        </w:tc>
        <w:tc>
          <w:tcPr>
            <w:tcW w:w="1151" w:type="dxa"/>
            <w:vMerge w:val="restart"/>
            <w:tcBorders>
              <w:top w:val="nil"/>
              <w:left w:val="single" w:sz="4" w:space="0" w:color="auto"/>
              <w:bottom w:val="nil"/>
              <w:right w:val="single" w:sz="4" w:space="0" w:color="auto"/>
            </w:tcBorders>
            <w:shd w:val="clear" w:color="auto" w:fill="auto"/>
            <w:vAlign w:val="center"/>
            <w:hideMark/>
          </w:tcPr>
          <w:p w14:paraId="1C421EC1"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UNDP</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2FA2A4FC"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66001</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0DA02D58"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12526</w:t>
            </w:r>
          </w:p>
        </w:tc>
        <w:tc>
          <w:tcPr>
            <w:tcW w:w="1084" w:type="dxa"/>
            <w:tcBorders>
              <w:top w:val="nil"/>
              <w:left w:val="nil"/>
              <w:bottom w:val="single" w:sz="4" w:space="0" w:color="auto"/>
              <w:right w:val="single" w:sz="4" w:space="0" w:color="auto"/>
            </w:tcBorders>
            <w:shd w:val="clear" w:color="auto" w:fill="auto"/>
            <w:vAlign w:val="center"/>
            <w:hideMark/>
          </w:tcPr>
          <w:p w14:paraId="54F83B9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71200</w:t>
            </w:r>
          </w:p>
        </w:tc>
        <w:tc>
          <w:tcPr>
            <w:tcW w:w="1732" w:type="dxa"/>
            <w:tcBorders>
              <w:top w:val="nil"/>
              <w:left w:val="nil"/>
              <w:bottom w:val="single" w:sz="4" w:space="0" w:color="auto"/>
              <w:right w:val="single" w:sz="4" w:space="0" w:color="auto"/>
            </w:tcBorders>
            <w:shd w:val="clear" w:color="auto" w:fill="auto"/>
            <w:vAlign w:val="center"/>
            <w:hideMark/>
          </w:tcPr>
          <w:p w14:paraId="5214148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International</w:t>
            </w:r>
          </w:p>
        </w:tc>
        <w:tc>
          <w:tcPr>
            <w:tcW w:w="758" w:type="dxa"/>
            <w:tcBorders>
              <w:top w:val="nil"/>
              <w:left w:val="nil"/>
              <w:bottom w:val="single" w:sz="4" w:space="0" w:color="auto"/>
              <w:right w:val="single" w:sz="4" w:space="0" w:color="auto"/>
            </w:tcBorders>
            <w:shd w:val="clear" w:color="auto" w:fill="auto"/>
            <w:noWrap/>
            <w:vAlign w:val="center"/>
            <w:hideMark/>
          </w:tcPr>
          <w:p w14:paraId="67639F9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c>
          <w:tcPr>
            <w:tcW w:w="758" w:type="dxa"/>
            <w:tcBorders>
              <w:top w:val="nil"/>
              <w:left w:val="nil"/>
              <w:bottom w:val="single" w:sz="4" w:space="0" w:color="auto"/>
              <w:right w:val="single" w:sz="4" w:space="0" w:color="auto"/>
            </w:tcBorders>
            <w:shd w:val="clear" w:color="auto" w:fill="auto"/>
            <w:noWrap/>
            <w:vAlign w:val="center"/>
            <w:hideMark/>
          </w:tcPr>
          <w:p w14:paraId="73EE079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40,000.00 </w:t>
            </w:r>
          </w:p>
        </w:tc>
        <w:tc>
          <w:tcPr>
            <w:tcW w:w="758" w:type="dxa"/>
            <w:tcBorders>
              <w:top w:val="nil"/>
              <w:left w:val="nil"/>
              <w:bottom w:val="single" w:sz="4" w:space="0" w:color="auto"/>
              <w:right w:val="single" w:sz="4" w:space="0" w:color="auto"/>
            </w:tcBorders>
            <w:shd w:val="clear" w:color="auto" w:fill="auto"/>
            <w:noWrap/>
            <w:vAlign w:val="center"/>
            <w:hideMark/>
          </w:tcPr>
          <w:p w14:paraId="0DA644B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50,000.00 </w:t>
            </w:r>
          </w:p>
        </w:tc>
        <w:tc>
          <w:tcPr>
            <w:tcW w:w="758" w:type="dxa"/>
            <w:tcBorders>
              <w:top w:val="nil"/>
              <w:left w:val="nil"/>
              <w:bottom w:val="single" w:sz="4" w:space="0" w:color="auto"/>
              <w:right w:val="single" w:sz="4" w:space="0" w:color="auto"/>
            </w:tcBorders>
            <w:shd w:val="clear" w:color="auto" w:fill="auto"/>
            <w:noWrap/>
            <w:vAlign w:val="center"/>
            <w:hideMark/>
          </w:tcPr>
          <w:p w14:paraId="3EA6C29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 </w:t>
            </w:r>
          </w:p>
        </w:tc>
        <w:tc>
          <w:tcPr>
            <w:tcW w:w="980" w:type="dxa"/>
            <w:tcBorders>
              <w:top w:val="nil"/>
              <w:left w:val="nil"/>
              <w:bottom w:val="single" w:sz="4" w:space="0" w:color="auto"/>
              <w:right w:val="single" w:sz="4" w:space="0" w:color="auto"/>
            </w:tcBorders>
            <w:shd w:val="clear" w:color="auto" w:fill="auto"/>
            <w:noWrap/>
            <w:vAlign w:val="center"/>
            <w:hideMark/>
          </w:tcPr>
          <w:p w14:paraId="1E834DA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100,000.00 </w:t>
            </w:r>
          </w:p>
        </w:tc>
        <w:tc>
          <w:tcPr>
            <w:tcW w:w="647" w:type="dxa"/>
            <w:tcBorders>
              <w:top w:val="nil"/>
              <w:left w:val="nil"/>
              <w:bottom w:val="single" w:sz="4" w:space="0" w:color="auto"/>
              <w:right w:val="single" w:sz="4" w:space="0" w:color="auto"/>
            </w:tcBorders>
            <w:shd w:val="clear" w:color="auto" w:fill="auto"/>
            <w:noWrap/>
            <w:vAlign w:val="center"/>
            <w:hideMark/>
          </w:tcPr>
          <w:p w14:paraId="2E47E29B"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AE </w:t>
            </w:r>
          </w:p>
        </w:tc>
      </w:tr>
      <w:tr w:rsidR="00086132" w:rsidRPr="00AC0422" w14:paraId="4CFE84E5" w14:textId="77777777" w:rsidTr="00086132">
        <w:trPr>
          <w:trHeight w:val="502"/>
        </w:trPr>
        <w:tc>
          <w:tcPr>
            <w:tcW w:w="1772" w:type="dxa"/>
            <w:vMerge/>
            <w:tcBorders>
              <w:top w:val="nil"/>
              <w:left w:val="nil"/>
              <w:bottom w:val="nil"/>
              <w:right w:val="nil"/>
            </w:tcBorders>
            <w:vAlign w:val="center"/>
            <w:hideMark/>
          </w:tcPr>
          <w:p w14:paraId="552BBF1C"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0A4F788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25CFA757"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2A53755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5EC98869"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nil"/>
              <w:right w:val="single" w:sz="4" w:space="0" w:color="auto"/>
            </w:tcBorders>
            <w:shd w:val="clear" w:color="auto" w:fill="auto"/>
            <w:vAlign w:val="center"/>
            <w:hideMark/>
          </w:tcPr>
          <w:p w14:paraId="7482FD0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nil"/>
              <w:right w:val="single" w:sz="4" w:space="0" w:color="auto"/>
            </w:tcBorders>
            <w:shd w:val="clear" w:color="auto" w:fill="auto"/>
            <w:vAlign w:val="center"/>
            <w:hideMark/>
          </w:tcPr>
          <w:p w14:paraId="60311FE6"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nil"/>
              <w:left w:val="nil"/>
              <w:bottom w:val="nil"/>
              <w:right w:val="single" w:sz="4" w:space="0" w:color="auto"/>
            </w:tcBorders>
            <w:shd w:val="clear" w:color="auto" w:fill="auto"/>
            <w:noWrap/>
            <w:vAlign w:val="center"/>
            <w:hideMark/>
          </w:tcPr>
          <w:p w14:paraId="57A1A33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c>
          <w:tcPr>
            <w:tcW w:w="758" w:type="dxa"/>
            <w:tcBorders>
              <w:top w:val="nil"/>
              <w:left w:val="nil"/>
              <w:bottom w:val="nil"/>
              <w:right w:val="single" w:sz="4" w:space="0" w:color="auto"/>
            </w:tcBorders>
            <w:shd w:val="clear" w:color="auto" w:fill="auto"/>
            <w:noWrap/>
            <w:vAlign w:val="center"/>
            <w:hideMark/>
          </w:tcPr>
          <w:p w14:paraId="6EFFDEC1"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37,200.00 </w:t>
            </w:r>
          </w:p>
        </w:tc>
        <w:tc>
          <w:tcPr>
            <w:tcW w:w="758" w:type="dxa"/>
            <w:tcBorders>
              <w:top w:val="nil"/>
              <w:left w:val="nil"/>
              <w:bottom w:val="nil"/>
              <w:right w:val="single" w:sz="4" w:space="0" w:color="auto"/>
            </w:tcBorders>
            <w:shd w:val="clear" w:color="auto" w:fill="auto"/>
            <w:noWrap/>
            <w:vAlign w:val="center"/>
            <w:hideMark/>
          </w:tcPr>
          <w:p w14:paraId="6911878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46,500.00 </w:t>
            </w:r>
          </w:p>
        </w:tc>
        <w:tc>
          <w:tcPr>
            <w:tcW w:w="758" w:type="dxa"/>
            <w:tcBorders>
              <w:top w:val="nil"/>
              <w:left w:val="nil"/>
              <w:bottom w:val="nil"/>
              <w:right w:val="single" w:sz="4" w:space="0" w:color="auto"/>
            </w:tcBorders>
            <w:shd w:val="clear" w:color="auto" w:fill="auto"/>
            <w:noWrap/>
            <w:vAlign w:val="center"/>
            <w:hideMark/>
          </w:tcPr>
          <w:p w14:paraId="608911CB"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9,300.00 </w:t>
            </w:r>
          </w:p>
        </w:tc>
        <w:tc>
          <w:tcPr>
            <w:tcW w:w="980" w:type="dxa"/>
            <w:tcBorders>
              <w:top w:val="nil"/>
              <w:left w:val="nil"/>
              <w:bottom w:val="nil"/>
              <w:right w:val="single" w:sz="4" w:space="0" w:color="auto"/>
            </w:tcBorders>
            <w:shd w:val="clear" w:color="auto" w:fill="auto"/>
            <w:noWrap/>
            <w:vAlign w:val="center"/>
            <w:hideMark/>
          </w:tcPr>
          <w:p w14:paraId="057C8B17"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93,000.00 </w:t>
            </w:r>
          </w:p>
        </w:tc>
        <w:tc>
          <w:tcPr>
            <w:tcW w:w="647" w:type="dxa"/>
            <w:tcBorders>
              <w:top w:val="nil"/>
              <w:left w:val="nil"/>
              <w:bottom w:val="nil"/>
              <w:right w:val="single" w:sz="4" w:space="0" w:color="auto"/>
            </w:tcBorders>
            <w:shd w:val="clear" w:color="auto" w:fill="auto"/>
            <w:noWrap/>
            <w:vAlign w:val="center"/>
            <w:hideMark/>
          </w:tcPr>
          <w:p w14:paraId="15F0ABE1"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AF </w:t>
            </w:r>
          </w:p>
        </w:tc>
      </w:tr>
      <w:tr w:rsidR="00086132" w:rsidRPr="00AC0422" w14:paraId="125E4D2D" w14:textId="77777777" w:rsidTr="00086132">
        <w:trPr>
          <w:trHeight w:val="502"/>
        </w:trPr>
        <w:tc>
          <w:tcPr>
            <w:tcW w:w="1772" w:type="dxa"/>
            <w:vMerge/>
            <w:tcBorders>
              <w:top w:val="nil"/>
              <w:left w:val="nil"/>
              <w:bottom w:val="nil"/>
              <w:right w:val="nil"/>
            </w:tcBorders>
            <w:vAlign w:val="center"/>
            <w:hideMark/>
          </w:tcPr>
          <w:p w14:paraId="5B3D1AD5"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5990" w:type="dxa"/>
            <w:gridSpan w:val="5"/>
            <w:tcBorders>
              <w:top w:val="single" w:sz="8" w:space="0" w:color="auto"/>
              <w:left w:val="single" w:sz="8" w:space="0" w:color="auto"/>
              <w:bottom w:val="single" w:sz="8" w:space="0" w:color="auto"/>
              <w:right w:val="single" w:sz="4" w:space="0" w:color="auto"/>
            </w:tcBorders>
            <w:shd w:val="clear" w:color="000000" w:fill="D9D9D9"/>
            <w:vAlign w:val="center"/>
            <w:hideMark/>
          </w:tcPr>
          <w:p w14:paraId="523B4ED2"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Output 3.4.2</w:t>
            </w:r>
          </w:p>
        </w:tc>
        <w:tc>
          <w:tcPr>
            <w:tcW w:w="1732" w:type="dxa"/>
            <w:tcBorders>
              <w:top w:val="single" w:sz="8" w:space="0" w:color="auto"/>
              <w:left w:val="nil"/>
              <w:bottom w:val="single" w:sz="8" w:space="0" w:color="auto"/>
              <w:right w:val="single" w:sz="4" w:space="0" w:color="auto"/>
            </w:tcBorders>
            <w:shd w:val="clear" w:color="000000" w:fill="D9D9D9"/>
            <w:vAlign w:val="center"/>
            <w:hideMark/>
          </w:tcPr>
          <w:p w14:paraId="484BA84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19838B6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6687BF9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77,200.00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00CCECA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96,500.00 </w:t>
            </w:r>
          </w:p>
        </w:tc>
        <w:tc>
          <w:tcPr>
            <w:tcW w:w="758" w:type="dxa"/>
            <w:tcBorders>
              <w:top w:val="single" w:sz="8" w:space="0" w:color="auto"/>
              <w:left w:val="nil"/>
              <w:bottom w:val="single" w:sz="8" w:space="0" w:color="auto"/>
              <w:right w:val="single" w:sz="4" w:space="0" w:color="auto"/>
            </w:tcBorders>
            <w:shd w:val="clear" w:color="000000" w:fill="D9D9D9"/>
            <w:noWrap/>
            <w:vAlign w:val="center"/>
            <w:hideMark/>
          </w:tcPr>
          <w:p w14:paraId="509F876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19,300.00 </w:t>
            </w:r>
          </w:p>
        </w:tc>
        <w:tc>
          <w:tcPr>
            <w:tcW w:w="980" w:type="dxa"/>
            <w:tcBorders>
              <w:top w:val="single" w:sz="8" w:space="0" w:color="auto"/>
              <w:left w:val="nil"/>
              <w:bottom w:val="single" w:sz="8" w:space="0" w:color="auto"/>
              <w:right w:val="single" w:sz="4" w:space="0" w:color="auto"/>
            </w:tcBorders>
            <w:shd w:val="clear" w:color="000000" w:fill="D9D9D9"/>
            <w:noWrap/>
            <w:vAlign w:val="center"/>
            <w:hideMark/>
          </w:tcPr>
          <w:p w14:paraId="13195D5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193,000.00 </w:t>
            </w:r>
          </w:p>
        </w:tc>
        <w:tc>
          <w:tcPr>
            <w:tcW w:w="647" w:type="dxa"/>
            <w:tcBorders>
              <w:top w:val="single" w:sz="8" w:space="0" w:color="auto"/>
              <w:left w:val="nil"/>
              <w:bottom w:val="single" w:sz="8" w:space="0" w:color="auto"/>
              <w:right w:val="single" w:sz="8" w:space="0" w:color="auto"/>
            </w:tcBorders>
            <w:shd w:val="clear" w:color="000000" w:fill="D9D9D9"/>
            <w:noWrap/>
            <w:vAlign w:val="center"/>
            <w:hideMark/>
          </w:tcPr>
          <w:p w14:paraId="4F1FCF3E"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7AFEA576" w14:textId="77777777" w:rsidTr="00086132">
        <w:trPr>
          <w:trHeight w:val="457"/>
        </w:trPr>
        <w:tc>
          <w:tcPr>
            <w:tcW w:w="1772" w:type="dxa"/>
            <w:vMerge/>
            <w:tcBorders>
              <w:top w:val="nil"/>
              <w:left w:val="nil"/>
              <w:bottom w:val="nil"/>
              <w:right w:val="nil"/>
            </w:tcBorders>
            <w:vAlign w:val="center"/>
            <w:hideMark/>
          </w:tcPr>
          <w:p w14:paraId="46C36E0C"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val="restart"/>
            <w:tcBorders>
              <w:top w:val="nil"/>
              <w:left w:val="single" w:sz="4" w:space="0" w:color="auto"/>
              <w:bottom w:val="nil"/>
              <w:right w:val="single" w:sz="4" w:space="0" w:color="auto"/>
            </w:tcBorders>
            <w:shd w:val="clear" w:color="auto" w:fill="auto"/>
            <w:vAlign w:val="center"/>
            <w:hideMark/>
          </w:tcPr>
          <w:p w14:paraId="52618CC3"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Output 3.4.3 National systems developed for tracking adaptation national and international finance flows</w:t>
            </w:r>
          </w:p>
        </w:tc>
        <w:tc>
          <w:tcPr>
            <w:tcW w:w="1151" w:type="dxa"/>
            <w:vMerge w:val="restart"/>
            <w:tcBorders>
              <w:top w:val="nil"/>
              <w:left w:val="single" w:sz="4" w:space="0" w:color="auto"/>
              <w:bottom w:val="nil"/>
              <w:right w:val="single" w:sz="4" w:space="0" w:color="auto"/>
            </w:tcBorders>
            <w:shd w:val="clear" w:color="auto" w:fill="auto"/>
            <w:vAlign w:val="center"/>
            <w:hideMark/>
          </w:tcPr>
          <w:p w14:paraId="0361FCD8"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UNDP</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612DA270"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66001</w:t>
            </w:r>
          </w:p>
        </w:tc>
        <w:tc>
          <w:tcPr>
            <w:tcW w:w="1148" w:type="dxa"/>
            <w:vMerge w:val="restart"/>
            <w:tcBorders>
              <w:top w:val="nil"/>
              <w:left w:val="single" w:sz="4" w:space="0" w:color="auto"/>
              <w:bottom w:val="nil"/>
              <w:right w:val="single" w:sz="4" w:space="0" w:color="auto"/>
            </w:tcBorders>
            <w:shd w:val="clear" w:color="auto" w:fill="auto"/>
            <w:vAlign w:val="center"/>
            <w:hideMark/>
          </w:tcPr>
          <w:p w14:paraId="2EBD96D4"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12526</w:t>
            </w:r>
          </w:p>
        </w:tc>
        <w:tc>
          <w:tcPr>
            <w:tcW w:w="1084" w:type="dxa"/>
            <w:tcBorders>
              <w:top w:val="nil"/>
              <w:left w:val="nil"/>
              <w:bottom w:val="single" w:sz="4" w:space="0" w:color="auto"/>
              <w:right w:val="single" w:sz="4" w:space="0" w:color="auto"/>
            </w:tcBorders>
            <w:shd w:val="clear" w:color="auto" w:fill="auto"/>
            <w:vAlign w:val="center"/>
            <w:hideMark/>
          </w:tcPr>
          <w:p w14:paraId="3A500B5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71200</w:t>
            </w:r>
          </w:p>
        </w:tc>
        <w:tc>
          <w:tcPr>
            <w:tcW w:w="1732" w:type="dxa"/>
            <w:tcBorders>
              <w:top w:val="nil"/>
              <w:left w:val="nil"/>
              <w:bottom w:val="single" w:sz="4" w:space="0" w:color="auto"/>
              <w:right w:val="single" w:sz="4" w:space="0" w:color="auto"/>
            </w:tcBorders>
            <w:shd w:val="clear" w:color="auto" w:fill="auto"/>
            <w:vAlign w:val="center"/>
            <w:hideMark/>
          </w:tcPr>
          <w:p w14:paraId="2BCF2D7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International</w:t>
            </w:r>
          </w:p>
        </w:tc>
        <w:tc>
          <w:tcPr>
            <w:tcW w:w="758" w:type="dxa"/>
            <w:tcBorders>
              <w:top w:val="nil"/>
              <w:left w:val="nil"/>
              <w:bottom w:val="single" w:sz="4" w:space="0" w:color="auto"/>
              <w:right w:val="single" w:sz="4" w:space="0" w:color="auto"/>
            </w:tcBorders>
            <w:shd w:val="clear" w:color="auto" w:fill="auto"/>
            <w:noWrap/>
            <w:vAlign w:val="center"/>
            <w:hideMark/>
          </w:tcPr>
          <w:p w14:paraId="4611196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21,890.00 </w:t>
            </w:r>
          </w:p>
        </w:tc>
        <w:tc>
          <w:tcPr>
            <w:tcW w:w="758" w:type="dxa"/>
            <w:tcBorders>
              <w:top w:val="nil"/>
              <w:left w:val="nil"/>
              <w:bottom w:val="single" w:sz="4" w:space="0" w:color="auto"/>
              <w:right w:val="single" w:sz="4" w:space="0" w:color="auto"/>
            </w:tcBorders>
            <w:shd w:val="clear" w:color="auto" w:fill="auto"/>
            <w:noWrap/>
            <w:vAlign w:val="center"/>
            <w:hideMark/>
          </w:tcPr>
          <w:p w14:paraId="1908946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43,780.00 </w:t>
            </w:r>
          </w:p>
        </w:tc>
        <w:tc>
          <w:tcPr>
            <w:tcW w:w="758" w:type="dxa"/>
            <w:tcBorders>
              <w:top w:val="nil"/>
              <w:left w:val="nil"/>
              <w:bottom w:val="single" w:sz="4" w:space="0" w:color="auto"/>
              <w:right w:val="single" w:sz="4" w:space="0" w:color="auto"/>
            </w:tcBorders>
            <w:shd w:val="clear" w:color="auto" w:fill="auto"/>
            <w:noWrap/>
            <w:vAlign w:val="center"/>
            <w:hideMark/>
          </w:tcPr>
          <w:p w14:paraId="79331E2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32,835.00 </w:t>
            </w:r>
          </w:p>
        </w:tc>
        <w:tc>
          <w:tcPr>
            <w:tcW w:w="758" w:type="dxa"/>
            <w:tcBorders>
              <w:top w:val="nil"/>
              <w:left w:val="nil"/>
              <w:bottom w:val="single" w:sz="4" w:space="0" w:color="auto"/>
              <w:right w:val="single" w:sz="4" w:space="0" w:color="auto"/>
            </w:tcBorders>
            <w:shd w:val="clear" w:color="auto" w:fill="auto"/>
            <w:noWrap/>
            <w:vAlign w:val="center"/>
            <w:hideMark/>
          </w:tcPr>
          <w:p w14:paraId="391857A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10,945.00 </w:t>
            </w:r>
          </w:p>
        </w:tc>
        <w:tc>
          <w:tcPr>
            <w:tcW w:w="980" w:type="dxa"/>
            <w:tcBorders>
              <w:top w:val="nil"/>
              <w:left w:val="nil"/>
              <w:bottom w:val="single" w:sz="4" w:space="0" w:color="auto"/>
              <w:right w:val="single" w:sz="4" w:space="0" w:color="auto"/>
            </w:tcBorders>
            <w:shd w:val="clear" w:color="auto" w:fill="auto"/>
            <w:noWrap/>
            <w:vAlign w:val="center"/>
            <w:hideMark/>
          </w:tcPr>
          <w:p w14:paraId="75E7257D"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109,450.00 </w:t>
            </w:r>
          </w:p>
        </w:tc>
        <w:tc>
          <w:tcPr>
            <w:tcW w:w="647" w:type="dxa"/>
            <w:tcBorders>
              <w:top w:val="nil"/>
              <w:left w:val="nil"/>
              <w:bottom w:val="single" w:sz="4" w:space="0" w:color="auto"/>
              <w:right w:val="single" w:sz="4" w:space="0" w:color="auto"/>
            </w:tcBorders>
            <w:shd w:val="clear" w:color="auto" w:fill="auto"/>
            <w:noWrap/>
            <w:vAlign w:val="center"/>
            <w:hideMark/>
          </w:tcPr>
          <w:p w14:paraId="3F96105D"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AG </w:t>
            </w:r>
          </w:p>
        </w:tc>
      </w:tr>
      <w:tr w:rsidR="00086132" w:rsidRPr="00AC0422" w14:paraId="715D9BE6" w14:textId="77777777" w:rsidTr="00086132">
        <w:trPr>
          <w:trHeight w:val="304"/>
        </w:trPr>
        <w:tc>
          <w:tcPr>
            <w:tcW w:w="1772" w:type="dxa"/>
            <w:vMerge/>
            <w:tcBorders>
              <w:top w:val="nil"/>
              <w:left w:val="nil"/>
              <w:bottom w:val="nil"/>
              <w:right w:val="nil"/>
            </w:tcBorders>
            <w:vAlign w:val="center"/>
            <w:hideMark/>
          </w:tcPr>
          <w:p w14:paraId="161E8C5E"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2CFBA63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4D24BBC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154406A1"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6DBEF95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5270A146"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single" w:sz="4" w:space="0" w:color="auto"/>
              <w:right w:val="single" w:sz="4" w:space="0" w:color="auto"/>
            </w:tcBorders>
            <w:shd w:val="clear" w:color="auto" w:fill="auto"/>
            <w:vAlign w:val="center"/>
            <w:hideMark/>
          </w:tcPr>
          <w:p w14:paraId="45E7E175"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nil"/>
              <w:left w:val="nil"/>
              <w:bottom w:val="single" w:sz="4" w:space="0" w:color="auto"/>
              <w:right w:val="single" w:sz="4" w:space="0" w:color="auto"/>
            </w:tcBorders>
            <w:shd w:val="clear" w:color="auto" w:fill="auto"/>
            <w:noWrap/>
            <w:vAlign w:val="center"/>
            <w:hideMark/>
          </w:tcPr>
          <w:p w14:paraId="6BC115F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12,080.00 </w:t>
            </w:r>
          </w:p>
        </w:tc>
        <w:tc>
          <w:tcPr>
            <w:tcW w:w="758" w:type="dxa"/>
            <w:tcBorders>
              <w:top w:val="nil"/>
              <w:left w:val="nil"/>
              <w:bottom w:val="single" w:sz="4" w:space="0" w:color="auto"/>
              <w:right w:val="single" w:sz="4" w:space="0" w:color="auto"/>
            </w:tcBorders>
            <w:shd w:val="clear" w:color="auto" w:fill="auto"/>
            <w:noWrap/>
            <w:vAlign w:val="center"/>
            <w:hideMark/>
          </w:tcPr>
          <w:p w14:paraId="6974F4C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24,160.00 </w:t>
            </w:r>
          </w:p>
        </w:tc>
        <w:tc>
          <w:tcPr>
            <w:tcW w:w="758" w:type="dxa"/>
            <w:tcBorders>
              <w:top w:val="nil"/>
              <w:left w:val="nil"/>
              <w:bottom w:val="single" w:sz="4" w:space="0" w:color="auto"/>
              <w:right w:val="single" w:sz="4" w:space="0" w:color="auto"/>
            </w:tcBorders>
            <w:shd w:val="clear" w:color="auto" w:fill="auto"/>
            <w:noWrap/>
            <w:vAlign w:val="center"/>
            <w:hideMark/>
          </w:tcPr>
          <w:p w14:paraId="46E06CB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18,120.00 </w:t>
            </w:r>
          </w:p>
        </w:tc>
        <w:tc>
          <w:tcPr>
            <w:tcW w:w="758" w:type="dxa"/>
            <w:tcBorders>
              <w:top w:val="nil"/>
              <w:left w:val="nil"/>
              <w:bottom w:val="single" w:sz="4" w:space="0" w:color="auto"/>
              <w:right w:val="single" w:sz="4" w:space="0" w:color="auto"/>
            </w:tcBorders>
            <w:shd w:val="clear" w:color="auto" w:fill="auto"/>
            <w:noWrap/>
            <w:vAlign w:val="center"/>
            <w:hideMark/>
          </w:tcPr>
          <w:p w14:paraId="2AB74ED8"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6,040.00 </w:t>
            </w:r>
          </w:p>
        </w:tc>
        <w:tc>
          <w:tcPr>
            <w:tcW w:w="980" w:type="dxa"/>
            <w:tcBorders>
              <w:top w:val="nil"/>
              <w:left w:val="nil"/>
              <w:bottom w:val="single" w:sz="4" w:space="0" w:color="auto"/>
              <w:right w:val="single" w:sz="4" w:space="0" w:color="auto"/>
            </w:tcBorders>
            <w:shd w:val="clear" w:color="auto" w:fill="auto"/>
            <w:noWrap/>
            <w:vAlign w:val="center"/>
            <w:hideMark/>
          </w:tcPr>
          <w:p w14:paraId="55588E4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60,400.00 </w:t>
            </w:r>
          </w:p>
        </w:tc>
        <w:tc>
          <w:tcPr>
            <w:tcW w:w="647" w:type="dxa"/>
            <w:tcBorders>
              <w:top w:val="nil"/>
              <w:left w:val="nil"/>
              <w:bottom w:val="single" w:sz="4" w:space="0" w:color="auto"/>
              <w:right w:val="single" w:sz="4" w:space="0" w:color="auto"/>
            </w:tcBorders>
            <w:shd w:val="clear" w:color="auto" w:fill="auto"/>
            <w:noWrap/>
            <w:vAlign w:val="center"/>
            <w:hideMark/>
          </w:tcPr>
          <w:p w14:paraId="41583E5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AH </w:t>
            </w:r>
          </w:p>
        </w:tc>
      </w:tr>
      <w:tr w:rsidR="00086132" w:rsidRPr="00AC0422" w14:paraId="7BEA879C" w14:textId="77777777" w:rsidTr="00086132">
        <w:trPr>
          <w:trHeight w:val="325"/>
        </w:trPr>
        <w:tc>
          <w:tcPr>
            <w:tcW w:w="1772" w:type="dxa"/>
            <w:vMerge/>
            <w:tcBorders>
              <w:top w:val="nil"/>
              <w:left w:val="nil"/>
              <w:bottom w:val="nil"/>
              <w:right w:val="nil"/>
            </w:tcBorders>
            <w:vAlign w:val="center"/>
            <w:hideMark/>
          </w:tcPr>
          <w:p w14:paraId="2F32BB25"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1456" w:type="dxa"/>
            <w:vMerge/>
            <w:tcBorders>
              <w:top w:val="nil"/>
              <w:left w:val="single" w:sz="4" w:space="0" w:color="auto"/>
              <w:bottom w:val="nil"/>
              <w:right w:val="single" w:sz="4" w:space="0" w:color="auto"/>
            </w:tcBorders>
            <w:vAlign w:val="center"/>
            <w:hideMark/>
          </w:tcPr>
          <w:p w14:paraId="48424632"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nil"/>
              <w:right w:val="single" w:sz="4" w:space="0" w:color="auto"/>
            </w:tcBorders>
            <w:vAlign w:val="center"/>
            <w:hideMark/>
          </w:tcPr>
          <w:p w14:paraId="318BB824"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58241DF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nil"/>
              <w:right w:val="single" w:sz="4" w:space="0" w:color="auto"/>
            </w:tcBorders>
            <w:vAlign w:val="center"/>
            <w:hideMark/>
          </w:tcPr>
          <w:p w14:paraId="7C9E3AE2"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nil"/>
              <w:right w:val="single" w:sz="4" w:space="0" w:color="auto"/>
            </w:tcBorders>
            <w:shd w:val="clear" w:color="auto" w:fill="auto"/>
            <w:vAlign w:val="center"/>
            <w:hideMark/>
          </w:tcPr>
          <w:p w14:paraId="5D45EC1B"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75700</w:t>
            </w:r>
          </w:p>
        </w:tc>
        <w:tc>
          <w:tcPr>
            <w:tcW w:w="1732" w:type="dxa"/>
            <w:tcBorders>
              <w:top w:val="nil"/>
              <w:left w:val="nil"/>
              <w:bottom w:val="nil"/>
              <w:right w:val="single" w:sz="4" w:space="0" w:color="auto"/>
            </w:tcBorders>
            <w:shd w:val="clear" w:color="auto" w:fill="auto"/>
            <w:vAlign w:val="center"/>
            <w:hideMark/>
          </w:tcPr>
          <w:p w14:paraId="5E7FB953"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Workshop/Training </w:t>
            </w:r>
          </w:p>
        </w:tc>
        <w:tc>
          <w:tcPr>
            <w:tcW w:w="758" w:type="dxa"/>
            <w:tcBorders>
              <w:top w:val="nil"/>
              <w:left w:val="nil"/>
              <w:bottom w:val="nil"/>
              <w:right w:val="single" w:sz="4" w:space="0" w:color="auto"/>
            </w:tcBorders>
            <w:shd w:val="clear" w:color="auto" w:fill="auto"/>
            <w:noWrap/>
            <w:vAlign w:val="center"/>
            <w:hideMark/>
          </w:tcPr>
          <w:p w14:paraId="64F5861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3,000.00 </w:t>
            </w:r>
          </w:p>
        </w:tc>
        <w:tc>
          <w:tcPr>
            <w:tcW w:w="758" w:type="dxa"/>
            <w:tcBorders>
              <w:top w:val="nil"/>
              <w:left w:val="nil"/>
              <w:bottom w:val="nil"/>
              <w:right w:val="single" w:sz="4" w:space="0" w:color="auto"/>
            </w:tcBorders>
            <w:shd w:val="clear" w:color="auto" w:fill="auto"/>
            <w:noWrap/>
            <w:vAlign w:val="center"/>
            <w:hideMark/>
          </w:tcPr>
          <w:p w14:paraId="3A26BBA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6,000.00 </w:t>
            </w:r>
          </w:p>
        </w:tc>
        <w:tc>
          <w:tcPr>
            <w:tcW w:w="758" w:type="dxa"/>
            <w:tcBorders>
              <w:top w:val="nil"/>
              <w:left w:val="nil"/>
              <w:bottom w:val="nil"/>
              <w:right w:val="single" w:sz="4" w:space="0" w:color="auto"/>
            </w:tcBorders>
            <w:shd w:val="clear" w:color="auto" w:fill="auto"/>
            <w:noWrap/>
            <w:vAlign w:val="center"/>
            <w:hideMark/>
          </w:tcPr>
          <w:p w14:paraId="7AFA13E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4,500.00 </w:t>
            </w:r>
          </w:p>
        </w:tc>
        <w:tc>
          <w:tcPr>
            <w:tcW w:w="758" w:type="dxa"/>
            <w:tcBorders>
              <w:top w:val="nil"/>
              <w:left w:val="nil"/>
              <w:bottom w:val="nil"/>
              <w:right w:val="single" w:sz="4" w:space="0" w:color="auto"/>
            </w:tcBorders>
            <w:shd w:val="clear" w:color="auto" w:fill="auto"/>
            <w:noWrap/>
            <w:vAlign w:val="center"/>
            <w:hideMark/>
          </w:tcPr>
          <w:p w14:paraId="66DAE9D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 </w:t>
            </w:r>
          </w:p>
        </w:tc>
        <w:tc>
          <w:tcPr>
            <w:tcW w:w="980" w:type="dxa"/>
            <w:tcBorders>
              <w:top w:val="nil"/>
              <w:left w:val="nil"/>
              <w:bottom w:val="nil"/>
              <w:right w:val="single" w:sz="4" w:space="0" w:color="auto"/>
            </w:tcBorders>
            <w:shd w:val="clear" w:color="auto" w:fill="auto"/>
            <w:noWrap/>
            <w:vAlign w:val="center"/>
            <w:hideMark/>
          </w:tcPr>
          <w:p w14:paraId="77491A31"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15,000.00 </w:t>
            </w:r>
          </w:p>
        </w:tc>
        <w:tc>
          <w:tcPr>
            <w:tcW w:w="647" w:type="dxa"/>
            <w:tcBorders>
              <w:top w:val="nil"/>
              <w:left w:val="nil"/>
              <w:bottom w:val="nil"/>
              <w:right w:val="single" w:sz="4" w:space="0" w:color="auto"/>
            </w:tcBorders>
            <w:shd w:val="clear" w:color="auto" w:fill="auto"/>
            <w:noWrap/>
            <w:vAlign w:val="center"/>
            <w:hideMark/>
          </w:tcPr>
          <w:p w14:paraId="4A7EC223"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AI </w:t>
            </w:r>
          </w:p>
        </w:tc>
      </w:tr>
      <w:tr w:rsidR="00086132" w:rsidRPr="00AC0422" w14:paraId="3D5384FF" w14:textId="77777777" w:rsidTr="00086132">
        <w:trPr>
          <w:trHeight w:val="325"/>
        </w:trPr>
        <w:tc>
          <w:tcPr>
            <w:tcW w:w="1772" w:type="dxa"/>
            <w:vMerge/>
            <w:tcBorders>
              <w:top w:val="nil"/>
              <w:left w:val="nil"/>
              <w:bottom w:val="nil"/>
              <w:right w:val="nil"/>
            </w:tcBorders>
            <w:vAlign w:val="center"/>
            <w:hideMark/>
          </w:tcPr>
          <w:p w14:paraId="6F617623" w14:textId="77777777" w:rsidR="00086132" w:rsidRPr="00AC0422" w:rsidRDefault="00086132" w:rsidP="00086132">
            <w:pPr>
              <w:spacing w:after="0"/>
              <w:jc w:val="left"/>
              <w:rPr>
                <w:rFonts w:asciiTheme="minorHAnsi" w:eastAsia="Times New Roman" w:hAnsiTheme="minorHAnsi" w:cstheme="minorHAnsi"/>
                <w:b/>
                <w:bCs/>
                <w:sz w:val="16"/>
                <w:szCs w:val="16"/>
                <w:lang w:val="en-CA"/>
              </w:rPr>
            </w:pPr>
          </w:p>
        </w:tc>
        <w:tc>
          <w:tcPr>
            <w:tcW w:w="5990" w:type="dxa"/>
            <w:gridSpan w:val="5"/>
            <w:tcBorders>
              <w:top w:val="single" w:sz="8" w:space="0" w:color="auto"/>
              <w:left w:val="single" w:sz="8" w:space="0" w:color="auto"/>
              <w:bottom w:val="nil"/>
              <w:right w:val="single" w:sz="4" w:space="0" w:color="auto"/>
            </w:tcBorders>
            <w:shd w:val="clear" w:color="000000" w:fill="D9D9D9"/>
            <w:vAlign w:val="center"/>
            <w:hideMark/>
          </w:tcPr>
          <w:p w14:paraId="08FE1055"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Output 3.4.3</w:t>
            </w:r>
          </w:p>
        </w:tc>
        <w:tc>
          <w:tcPr>
            <w:tcW w:w="1732" w:type="dxa"/>
            <w:tcBorders>
              <w:top w:val="single" w:sz="8" w:space="0" w:color="auto"/>
              <w:left w:val="nil"/>
              <w:bottom w:val="nil"/>
              <w:right w:val="single" w:sz="4" w:space="0" w:color="auto"/>
            </w:tcBorders>
            <w:shd w:val="clear" w:color="000000" w:fill="D9D9D9"/>
            <w:vAlign w:val="center"/>
            <w:hideMark/>
          </w:tcPr>
          <w:p w14:paraId="15C54AD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nil"/>
              <w:right w:val="single" w:sz="4" w:space="0" w:color="auto"/>
            </w:tcBorders>
            <w:shd w:val="clear" w:color="000000" w:fill="D9D9D9"/>
            <w:noWrap/>
            <w:vAlign w:val="center"/>
            <w:hideMark/>
          </w:tcPr>
          <w:p w14:paraId="4CD522A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36,970.00 </w:t>
            </w:r>
          </w:p>
        </w:tc>
        <w:tc>
          <w:tcPr>
            <w:tcW w:w="758" w:type="dxa"/>
            <w:tcBorders>
              <w:top w:val="single" w:sz="8" w:space="0" w:color="auto"/>
              <w:left w:val="nil"/>
              <w:bottom w:val="nil"/>
              <w:right w:val="single" w:sz="4" w:space="0" w:color="auto"/>
            </w:tcBorders>
            <w:shd w:val="clear" w:color="000000" w:fill="D9D9D9"/>
            <w:noWrap/>
            <w:vAlign w:val="center"/>
            <w:hideMark/>
          </w:tcPr>
          <w:p w14:paraId="279E2C0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73,940.00 </w:t>
            </w:r>
          </w:p>
        </w:tc>
        <w:tc>
          <w:tcPr>
            <w:tcW w:w="758" w:type="dxa"/>
            <w:tcBorders>
              <w:top w:val="single" w:sz="8" w:space="0" w:color="auto"/>
              <w:left w:val="nil"/>
              <w:bottom w:val="nil"/>
              <w:right w:val="single" w:sz="4" w:space="0" w:color="auto"/>
            </w:tcBorders>
            <w:shd w:val="clear" w:color="000000" w:fill="D9D9D9"/>
            <w:noWrap/>
            <w:vAlign w:val="center"/>
            <w:hideMark/>
          </w:tcPr>
          <w:p w14:paraId="7A0B71C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55,455.00 </w:t>
            </w:r>
          </w:p>
        </w:tc>
        <w:tc>
          <w:tcPr>
            <w:tcW w:w="758" w:type="dxa"/>
            <w:tcBorders>
              <w:top w:val="single" w:sz="8" w:space="0" w:color="auto"/>
              <w:left w:val="nil"/>
              <w:bottom w:val="nil"/>
              <w:right w:val="single" w:sz="4" w:space="0" w:color="auto"/>
            </w:tcBorders>
            <w:shd w:val="clear" w:color="000000" w:fill="D9D9D9"/>
            <w:noWrap/>
            <w:vAlign w:val="center"/>
            <w:hideMark/>
          </w:tcPr>
          <w:p w14:paraId="24183DA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18,485.00 </w:t>
            </w:r>
          </w:p>
        </w:tc>
        <w:tc>
          <w:tcPr>
            <w:tcW w:w="980" w:type="dxa"/>
            <w:tcBorders>
              <w:top w:val="single" w:sz="8" w:space="0" w:color="auto"/>
              <w:left w:val="nil"/>
              <w:bottom w:val="nil"/>
              <w:right w:val="single" w:sz="4" w:space="0" w:color="auto"/>
            </w:tcBorders>
            <w:shd w:val="clear" w:color="000000" w:fill="D9D9D9"/>
            <w:noWrap/>
            <w:vAlign w:val="center"/>
            <w:hideMark/>
          </w:tcPr>
          <w:p w14:paraId="5101F43A"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184,850.00 </w:t>
            </w:r>
          </w:p>
        </w:tc>
        <w:tc>
          <w:tcPr>
            <w:tcW w:w="647" w:type="dxa"/>
            <w:tcBorders>
              <w:top w:val="single" w:sz="8" w:space="0" w:color="auto"/>
              <w:left w:val="nil"/>
              <w:bottom w:val="nil"/>
              <w:right w:val="single" w:sz="8" w:space="0" w:color="auto"/>
            </w:tcBorders>
            <w:shd w:val="clear" w:color="000000" w:fill="D9D9D9"/>
            <w:noWrap/>
            <w:vAlign w:val="center"/>
            <w:hideMark/>
          </w:tcPr>
          <w:p w14:paraId="530336A0"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11FDB14A" w14:textId="77777777" w:rsidTr="00086132">
        <w:trPr>
          <w:trHeight w:val="325"/>
        </w:trPr>
        <w:tc>
          <w:tcPr>
            <w:tcW w:w="7762" w:type="dxa"/>
            <w:gridSpan w:val="6"/>
            <w:tcBorders>
              <w:top w:val="single" w:sz="8" w:space="0" w:color="auto"/>
              <w:left w:val="nil"/>
              <w:bottom w:val="single" w:sz="8" w:space="0" w:color="auto"/>
              <w:right w:val="single" w:sz="4" w:space="0" w:color="auto"/>
            </w:tcBorders>
            <w:shd w:val="clear" w:color="000000" w:fill="DEEDCB"/>
            <w:vAlign w:val="center"/>
            <w:hideMark/>
          </w:tcPr>
          <w:p w14:paraId="4822018E" w14:textId="77777777" w:rsidR="00086132" w:rsidRPr="00AC0422" w:rsidRDefault="00086132" w:rsidP="00086132">
            <w:pPr>
              <w:spacing w:after="0"/>
              <w:jc w:val="left"/>
              <w:rPr>
                <w:rFonts w:asciiTheme="minorHAnsi" w:eastAsia="Times New Roman" w:hAnsiTheme="minorHAnsi" w:cstheme="minorHAnsi"/>
                <w:b/>
                <w:bCs/>
                <w:i/>
                <w:iCs/>
                <w:color w:val="000000"/>
                <w:sz w:val="18"/>
                <w:szCs w:val="18"/>
                <w:lang w:val="en-CA"/>
              </w:rPr>
            </w:pPr>
            <w:r w:rsidRPr="00AC0422">
              <w:rPr>
                <w:rFonts w:asciiTheme="minorHAnsi" w:eastAsia="Times New Roman" w:hAnsiTheme="minorHAnsi" w:cstheme="minorHAnsi"/>
                <w:b/>
                <w:bCs/>
                <w:i/>
                <w:iCs/>
                <w:color w:val="000000"/>
                <w:sz w:val="18"/>
                <w:szCs w:val="18"/>
                <w:lang w:val="en-CA"/>
              </w:rPr>
              <w:t>Total Outcome 3.4</w:t>
            </w:r>
          </w:p>
        </w:tc>
        <w:tc>
          <w:tcPr>
            <w:tcW w:w="1732" w:type="dxa"/>
            <w:tcBorders>
              <w:top w:val="single" w:sz="8" w:space="0" w:color="auto"/>
              <w:left w:val="nil"/>
              <w:bottom w:val="single" w:sz="8" w:space="0" w:color="auto"/>
              <w:right w:val="single" w:sz="4" w:space="0" w:color="auto"/>
            </w:tcBorders>
            <w:shd w:val="clear" w:color="000000" w:fill="DEEDCB"/>
            <w:vAlign w:val="center"/>
            <w:hideMark/>
          </w:tcPr>
          <w:p w14:paraId="5BA2730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022400E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36,970.00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3A446A1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151,140.00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6DA63CE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151,955.00 </w:t>
            </w:r>
          </w:p>
        </w:tc>
        <w:tc>
          <w:tcPr>
            <w:tcW w:w="758" w:type="dxa"/>
            <w:tcBorders>
              <w:top w:val="single" w:sz="8" w:space="0" w:color="auto"/>
              <w:left w:val="nil"/>
              <w:bottom w:val="single" w:sz="8" w:space="0" w:color="auto"/>
              <w:right w:val="single" w:sz="4" w:space="0" w:color="auto"/>
            </w:tcBorders>
            <w:shd w:val="clear" w:color="000000" w:fill="DEEDCB"/>
            <w:noWrap/>
            <w:vAlign w:val="center"/>
            <w:hideMark/>
          </w:tcPr>
          <w:p w14:paraId="1D7B979B"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37,785.00 </w:t>
            </w:r>
          </w:p>
        </w:tc>
        <w:tc>
          <w:tcPr>
            <w:tcW w:w="980" w:type="dxa"/>
            <w:tcBorders>
              <w:top w:val="single" w:sz="8" w:space="0" w:color="auto"/>
              <w:left w:val="nil"/>
              <w:bottom w:val="single" w:sz="8" w:space="0" w:color="auto"/>
              <w:right w:val="single" w:sz="4" w:space="0" w:color="auto"/>
            </w:tcBorders>
            <w:shd w:val="clear" w:color="000000" w:fill="DEEDCB"/>
            <w:noWrap/>
            <w:vAlign w:val="center"/>
            <w:hideMark/>
          </w:tcPr>
          <w:p w14:paraId="2973CA6F"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377,850.00 </w:t>
            </w:r>
          </w:p>
        </w:tc>
        <w:tc>
          <w:tcPr>
            <w:tcW w:w="647" w:type="dxa"/>
            <w:tcBorders>
              <w:top w:val="single" w:sz="8" w:space="0" w:color="auto"/>
              <w:left w:val="nil"/>
              <w:bottom w:val="single" w:sz="8" w:space="0" w:color="auto"/>
              <w:right w:val="single" w:sz="8" w:space="0" w:color="auto"/>
            </w:tcBorders>
            <w:shd w:val="clear" w:color="000000" w:fill="DEEDCB"/>
            <w:noWrap/>
            <w:vAlign w:val="center"/>
            <w:hideMark/>
          </w:tcPr>
          <w:p w14:paraId="5A29D5D8" w14:textId="77777777" w:rsidR="00086132" w:rsidRPr="00AC0422" w:rsidRDefault="00086132" w:rsidP="00086132">
            <w:pPr>
              <w:spacing w:after="0"/>
              <w:jc w:val="center"/>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r w:rsidR="00086132" w:rsidRPr="00AC0422" w14:paraId="6D489F78" w14:textId="77777777" w:rsidTr="00086132">
        <w:trPr>
          <w:trHeight w:val="304"/>
        </w:trPr>
        <w:tc>
          <w:tcPr>
            <w:tcW w:w="1772" w:type="dxa"/>
            <w:tcBorders>
              <w:top w:val="single" w:sz="4" w:space="0" w:color="auto"/>
              <w:left w:val="single" w:sz="4" w:space="0" w:color="auto"/>
              <w:bottom w:val="single" w:sz="4" w:space="0" w:color="auto"/>
              <w:right w:val="nil"/>
            </w:tcBorders>
            <w:shd w:val="clear" w:color="000000" w:fill="3494BA"/>
            <w:vAlign w:val="center"/>
            <w:hideMark/>
          </w:tcPr>
          <w:p w14:paraId="4C8713FD" w14:textId="77777777" w:rsidR="00086132" w:rsidRPr="00AC0422" w:rsidRDefault="00086132" w:rsidP="00086132">
            <w:pPr>
              <w:spacing w:after="0"/>
              <w:jc w:val="left"/>
              <w:rPr>
                <w:rFonts w:asciiTheme="minorHAnsi" w:eastAsia="Times New Roman" w:hAnsiTheme="minorHAnsi" w:cstheme="minorHAnsi"/>
                <w:b/>
                <w:bCs/>
                <w:color w:val="FFFFFF"/>
                <w:sz w:val="16"/>
                <w:szCs w:val="16"/>
                <w:lang w:val="en-CA"/>
              </w:rPr>
            </w:pPr>
            <w:r w:rsidRPr="00AC0422">
              <w:rPr>
                <w:rFonts w:asciiTheme="minorHAnsi" w:eastAsia="Times New Roman" w:hAnsiTheme="minorHAnsi" w:cstheme="minorHAnsi"/>
                <w:b/>
                <w:bCs/>
                <w:color w:val="FFFFFF"/>
                <w:sz w:val="16"/>
                <w:szCs w:val="16"/>
                <w:lang w:val="en-CA"/>
              </w:rPr>
              <w:t>Total Outcome Budget</w:t>
            </w:r>
          </w:p>
        </w:tc>
        <w:tc>
          <w:tcPr>
            <w:tcW w:w="1456" w:type="dxa"/>
            <w:tcBorders>
              <w:top w:val="nil"/>
              <w:left w:val="nil"/>
              <w:bottom w:val="single" w:sz="4" w:space="0" w:color="auto"/>
              <w:right w:val="nil"/>
            </w:tcBorders>
            <w:shd w:val="clear" w:color="000000" w:fill="3494BA"/>
            <w:vAlign w:val="center"/>
            <w:hideMark/>
          </w:tcPr>
          <w:p w14:paraId="75169BE9" w14:textId="77777777" w:rsidR="00086132" w:rsidRPr="00AC0422" w:rsidRDefault="00086132" w:rsidP="00086132">
            <w:pPr>
              <w:spacing w:after="0"/>
              <w:jc w:val="left"/>
              <w:rPr>
                <w:rFonts w:asciiTheme="minorHAnsi" w:eastAsia="Times New Roman" w:hAnsiTheme="minorHAnsi" w:cstheme="minorHAnsi"/>
                <w:b/>
                <w:bCs/>
                <w:color w:val="FFFFFF"/>
                <w:sz w:val="16"/>
                <w:szCs w:val="16"/>
                <w:lang w:val="en-CA"/>
              </w:rPr>
            </w:pPr>
            <w:r w:rsidRPr="00AC0422">
              <w:rPr>
                <w:rFonts w:asciiTheme="minorHAnsi" w:eastAsia="Times New Roman" w:hAnsiTheme="minorHAnsi" w:cstheme="minorHAnsi"/>
                <w:b/>
                <w:bCs/>
                <w:color w:val="FFFFFF"/>
                <w:sz w:val="16"/>
                <w:szCs w:val="16"/>
                <w:lang w:val="en-CA"/>
              </w:rPr>
              <w:t> </w:t>
            </w:r>
          </w:p>
        </w:tc>
        <w:tc>
          <w:tcPr>
            <w:tcW w:w="1151" w:type="dxa"/>
            <w:tcBorders>
              <w:top w:val="nil"/>
              <w:left w:val="nil"/>
              <w:bottom w:val="single" w:sz="4" w:space="0" w:color="auto"/>
              <w:right w:val="nil"/>
            </w:tcBorders>
            <w:shd w:val="clear" w:color="000000" w:fill="3494BA"/>
            <w:vAlign w:val="center"/>
            <w:hideMark/>
          </w:tcPr>
          <w:p w14:paraId="7F683306" w14:textId="77777777" w:rsidR="00086132" w:rsidRPr="00AC0422" w:rsidRDefault="00086132" w:rsidP="00086132">
            <w:pPr>
              <w:spacing w:after="0"/>
              <w:jc w:val="left"/>
              <w:rPr>
                <w:rFonts w:asciiTheme="minorHAnsi" w:eastAsia="Times New Roman" w:hAnsiTheme="minorHAnsi" w:cstheme="minorHAnsi"/>
                <w:b/>
                <w:bCs/>
                <w:color w:val="FFFFFF"/>
                <w:sz w:val="16"/>
                <w:szCs w:val="16"/>
                <w:lang w:val="en-CA"/>
              </w:rPr>
            </w:pPr>
            <w:r w:rsidRPr="00AC0422">
              <w:rPr>
                <w:rFonts w:asciiTheme="minorHAnsi" w:eastAsia="Times New Roman" w:hAnsiTheme="minorHAnsi" w:cstheme="minorHAnsi"/>
                <w:b/>
                <w:bCs/>
                <w:color w:val="FFFFFF"/>
                <w:sz w:val="16"/>
                <w:szCs w:val="16"/>
                <w:lang w:val="en-CA"/>
              </w:rPr>
              <w:t> </w:t>
            </w:r>
          </w:p>
        </w:tc>
        <w:tc>
          <w:tcPr>
            <w:tcW w:w="1148" w:type="dxa"/>
            <w:tcBorders>
              <w:top w:val="nil"/>
              <w:left w:val="nil"/>
              <w:bottom w:val="single" w:sz="4" w:space="0" w:color="auto"/>
              <w:right w:val="nil"/>
            </w:tcBorders>
            <w:shd w:val="clear" w:color="000000" w:fill="3494BA"/>
            <w:vAlign w:val="center"/>
            <w:hideMark/>
          </w:tcPr>
          <w:p w14:paraId="5B7A7745" w14:textId="77777777" w:rsidR="00086132" w:rsidRPr="00AC0422" w:rsidRDefault="00086132" w:rsidP="00086132">
            <w:pPr>
              <w:spacing w:after="0"/>
              <w:jc w:val="left"/>
              <w:rPr>
                <w:rFonts w:asciiTheme="minorHAnsi" w:eastAsia="Times New Roman" w:hAnsiTheme="minorHAnsi" w:cstheme="minorHAnsi"/>
                <w:b/>
                <w:bCs/>
                <w:color w:val="FFFFFF"/>
                <w:sz w:val="16"/>
                <w:szCs w:val="16"/>
                <w:lang w:val="en-CA"/>
              </w:rPr>
            </w:pPr>
            <w:r w:rsidRPr="00AC0422">
              <w:rPr>
                <w:rFonts w:asciiTheme="minorHAnsi" w:eastAsia="Times New Roman" w:hAnsiTheme="minorHAnsi" w:cstheme="minorHAnsi"/>
                <w:b/>
                <w:bCs/>
                <w:color w:val="FFFFFF"/>
                <w:sz w:val="16"/>
                <w:szCs w:val="16"/>
                <w:lang w:val="en-CA"/>
              </w:rPr>
              <w:t> </w:t>
            </w:r>
          </w:p>
        </w:tc>
        <w:tc>
          <w:tcPr>
            <w:tcW w:w="1148" w:type="dxa"/>
            <w:tcBorders>
              <w:top w:val="nil"/>
              <w:left w:val="nil"/>
              <w:bottom w:val="single" w:sz="4" w:space="0" w:color="auto"/>
              <w:right w:val="nil"/>
            </w:tcBorders>
            <w:shd w:val="clear" w:color="000000" w:fill="3494BA"/>
            <w:vAlign w:val="center"/>
            <w:hideMark/>
          </w:tcPr>
          <w:p w14:paraId="043E8948" w14:textId="77777777" w:rsidR="00086132" w:rsidRPr="00AC0422" w:rsidRDefault="00086132" w:rsidP="00086132">
            <w:pPr>
              <w:spacing w:after="0"/>
              <w:jc w:val="left"/>
              <w:rPr>
                <w:rFonts w:asciiTheme="minorHAnsi" w:eastAsia="Times New Roman" w:hAnsiTheme="minorHAnsi" w:cstheme="minorHAnsi"/>
                <w:b/>
                <w:bCs/>
                <w:color w:val="FFFFFF"/>
                <w:sz w:val="16"/>
                <w:szCs w:val="16"/>
                <w:lang w:val="en-CA"/>
              </w:rPr>
            </w:pPr>
            <w:r w:rsidRPr="00AC0422">
              <w:rPr>
                <w:rFonts w:asciiTheme="minorHAnsi" w:eastAsia="Times New Roman" w:hAnsiTheme="minorHAnsi" w:cstheme="minorHAnsi"/>
                <w:b/>
                <w:bCs/>
                <w:color w:val="FFFFFF"/>
                <w:sz w:val="16"/>
                <w:szCs w:val="16"/>
                <w:lang w:val="en-CA"/>
              </w:rPr>
              <w:t> </w:t>
            </w:r>
          </w:p>
        </w:tc>
        <w:tc>
          <w:tcPr>
            <w:tcW w:w="1084" w:type="dxa"/>
            <w:tcBorders>
              <w:top w:val="nil"/>
              <w:left w:val="nil"/>
              <w:bottom w:val="single" w:sz="4" w:space="0" w:color="auto"/>
              <w:right w:val="nil"/>
            </w:tcBorders>
            <w:shd w:val="clear" w:color="000000" w:fill="3494BA"/>
            <w:vAlign w:val="center"/>
            <w:hideMark/>
          </w:tcPr>
          <w:p w14:paraId="6E254241" w14:textId="77777777" w:rsidR="00086132" w:rsidRPr="00AC0422" w:rsidRDefault="00086132" w:rsidP="00086132">
            <w:pPr>
              <w:spacing w:after="0"/>
              <w:jc w:val="left"/>
              <w:rPr>
                <w:rFonts w:asciiTheme="minorHAnsi" w:eastAsia="Times New Roman" w:hAnsiTheme="minorHAnsi" w:cstheme="minorHAnsi"/>
                <w:b/>
                <w:bCs/>
                <w:color w:val="FFFFFF"/>
                <w:sz w:val="16"/>
                <w:szCs w:val="16"/>
                <w:lang w:val="en-CA"/>
              </w:rPr>
            </w:pPr>
            <w:r w:rsidRPr="00AC0422">
              <w:rPr>
                <w:rFonts w:asciiTheme="minorHAnsi" w:eastAsia="Times New Roman" w:hAnsiTheme="minorHAnsi" w:cstheme="minorHAnsi"/>
                <w:b/>
                <w:bCs/>
                <w:color w:val="FFFFFF"/>
                <w:sz w:val="16"/>
                <w:szCs w:val="16"/>
                <w:lang w:val="en-CA"/>
              </w:rPr>
              <w:t> </w:t>
            </w:r>
          </w:p>
        </w:tc>
        <w:tc>
          <w:tcPr>
            <w:tcW w:w="1732" w:type="dxa"/>
            <w:tcBorders>
              <w:top w:val="nil"/>
              <w:left w:val="nil"/>
              <w:bottom w:val="single" w:sz="4" w:space="0" w:color="auto"/>
              <w:right w:val="nil"/>
            </w:tcBorders>
            <w:shd w:val="clear" w:color="000000" w:fill="3494BA"/>
            <w:vAlign w:val="center"/>
            <w:hideMark/>
          </w:tcPr>
          <w:p w14:paraId="266BB32C" w14:textId="77777777" w:rsidR="00086132" w:rsidRPr="00AC0422" w:rsidRDefault="00086132" w:rsidP="00086132">
            <w:pPr>
              <w:spacing w:after="0"/>
              <w:jc w:val="left"/>
              <w:rPr>
                <w:rFonts w:asciiTheme="minorHAnsi" w:eastAsia="Times New Roman" w:hAnsiTheme="minorHAnsi" w:cstheme="minorHAnsi"/>
                <w:b/>
                <w:bCs/>
                <w:color w:val="FFFFFF"/>
                <w:sz w:val="16"/>
                <w:szCs w:val="16"/>
                <w:lang w:val="en-CA"/>
              </w:rPr>
            </w:pPr>
            <w:r w:rsidRPr="00AC0422">
              <w:rPr>
                <w:rFonts w:asciiTheme="minorHAnsi" w:eastAsia="Times New Roman" w:hAnsiTheme="minorHAnsi" w:cstheme="minorHAnsi"/>
                <w:b/>
                <w:bCs/>
                <w:color w:val="FFFFFF"/>
                <w:sz w:val="16"/>
                <w:szCs w:val="16"/>
                <w:lang w:val="en-CA"/>
              </w:rPr>
              <w:t> </w:t>
            </w:r>
          </w:p>
        </w:tc>
        <w:tc>
          <w:tcPr>
            <w:tcW w:w="758" w:type="dxa"/>
            <w:tcBorders>
              <w:top w:val="nil"/>
              <w:left w:val="single" w:sz="4" w:space="0" w:color="auto"/>
              <w:bottom w:val="nil"/>
              <w:right w:val="single" w:sz="4" w:space="0" w:color="auto"/>
            </w:tcBorders>
            <w:shd w:val="clear" w:color="000000" w:fill="3494BA"/>
            <w:noWrap/>
            <w:vAlign w:val="center"/>
            <w:hideMark/>
          </w:tcPr>
          <w:p w14:paraId="0CC566B2" w14:textId="77777777" w:rsidR="00086132" w:rsidRPr="00AC0422" w:rsidRDefault="00086132" w:rsidP="00086132">
            <w:pPr>
              <w:spacing w:after="0"/>
              <w:jc w:val="left"/>
              <w:rPr>
                <w:rFonts w:asciiTheme="minorHAnsi" w:eastAsia="Times New Roman" w:hAnsiTheme="minorHAnsi" w:cstheme="minorHAnsi"/>
                <w:color w:val="FFFFFF"/>
                <w:sz w:val="16"/>
                <w:szCs w:val="16"/>
                <w:lang w:val="en-CA"/>
              </w:rPr>
            </w:pPr>
            <w:r w:rsidRPr="00AC0422">
              <w:rPr>
                <w:rFonts w:asciiTheme="minorHAnsi" w:eastAsia="Times New Roman" w:hAnsiTheme="minorHAnsi" w:cstheme="minorHAnsi"/>
                <w:color w:val="FFFFFF"/>
                <w:sz w:val="16"/>
                <w:szCs w:val="16"/>
                <w:lang w:val="en-CA"/>
              </w:rPr>
              <w:t xml:space="preserve">            765,350.00 </w:t>
            </w:r>
          </w:p>
        </w:tc>
        <w:tc>
          <w:tcPr>
            <w:tcW w:w="758" w:type="dxa"/>
            <w:tcBorders>
              <w:top w:val="nil"/>
              <w:left w:val="nil"/>
              <w:bottom w:val="nil"/>
              <w:right w:val="single" w:sz="4" w:space="0" w:color="auto"/>
            </w:tcBorders>
            <w:shd w:val="clear" w:color="000000" w:fill="3494BA"/>
            <w:noWrap/>
            <w:vAlign w:val="center"/>
            <w:hideMark/>
          </w:tcPr>
          <w:p w14:paraId="0C0167A0" w14:textId="77777777" w:rsidR="00086132" w:rsidRPr="00AC0422" w:rsidRDefault="00086132" w:rsidP="00086132">
            <w:pPr>
              <w:spacing w:after="0"/>
              <w:jc w:val="left"/>
              <w:rPr>
                <w:rFonts w:asciiTheme="minorHAnsi" w:eastAsia="Times New Roman" w:hAnsiTheme="minorHAnsi" w:cstheme="minorHAnsi"/>
                <w:color w:val="FFFFFF"/>
                <w:sz w:val="16"/>
                <w:szCs w:val="16"/>
                <w:lang w:val="en-CA"/>
              </w:rPr>
            </w:pPr>
            <w:r w:rsidRPr="00AC0422">
              <w:rPr>
                <w:rFonts w:asciiTheme="minorHAnsi" w:eastAsia="Times New Roman" w:hAnsiTheme="minorHAnsi" w:cstheme="minorHAnsi"/>
                <w:color w:val="FFFFFF"/>
                <w:sz w:val="16"/>
                <w:szCs w:val="16"/>
                <w:lang w:val="en-CA"/>
              </w:rPr>
              <w:t xml:space="preserve">            897,710.00 </w:t>
            </w:r>
          </w:p>
        </w:tc>
        <w:tc>
          <w:tcPr>
            <w:tcW w:w="758" w:type="dxa"/>
            <w:tcBorders>
              <w:top w:val="nil"/>
              <w:left w:val="nil"/>
              <w:bottom w:val="nil"/>
              <w:right w:val="single" w:sz="4" w:space="0" w:color="auto"/>
            </w:tcBorders>
            <w:shd w:val="clear" w:color="000000" w:fill="3494BA"/>
            <w:noWrap/>
            <w:vAlign w:val="center"/>
            <w:hideMark/>
          </w:tcPr>
          <w:p w14:paraId="2CF11801" w14:textId="77777777" w:rsidR="00086132" w:rsidRPr="00AC0422" w:rsidRDefault="00086132" w:rsidP="00086132">
            <w:pPr>
              <w:spacing w:after="0"/>
              <w:jc w:val="left"/>
              <w:rPr>
                <w:rFonts w:asciiTheme="minorHAnsi" w:eastAsia="Times New Roman" w:hAnsiTheme="minorHAnsi" w:cstheme="minorHAnsi"/>
                <w:color w:val="FFFFFF"/>
                <w:sz w:val="16"/>
                <w:szCs w:val="16"/>
                <w:lang w:val="en-CA"/>
              </w:rPr>
            </w:pPr>
            <w:r w:rsidRPr="00AC0422">
              <w:rPr>
                <w:rFonts w:asciiTheme="minorHAnsi" w:eastAsia="Times New Roman" w:hAnsiTheme="minorHAnsi" w:cstheme="minorHAnsi"/>
                <w:color w:val="FFFFFF"/>
                <w:sz w:val="16"/>
                <w:szCs w:val="16"/>
                <w:lang w:val="en-CA"/>
              </w:rPr>
              <w:t xml:space="preserve">            554,200.00 </w:t>
            </w:r>
          </w:p>
        </w:tc>
        <w:tc>
          <w:tcPr>
            <w:tcW w:w="758" w:type="dxa"/>
            <w:tcBorders>
              <w:top w:val="nil"/>
              <w:left w:val="nil"/>
              <w:bottom w:val="nil"/>
              <w:right w:val="single" w:sz="4" w:space="0" w:color="auto"/>
            </w:tcBorders>
            <w:shd w:val="clear" w:color="000000" w:fill="3494BA"/>
            <w:noWrap/>
            <w:vAlign w:val="center"/>
            <w:hideMark/>
          </w:tcPr>
          <w:p w14:paraId="38329EA7" w14:textId="77777777" w:rsidR="00086132" w:rsidRPr="00AC0422" w:rsidRDefault="00086132" w:rsidP="00086132">
            <w:pPr>
              <w:spacing w:after="0"/>
              <w:jc w:val="left"/>
              <w:rPr>
                <w:rFonts w:asciiTheme="minorHAnsi" w:eastAsia="Times New Roman" w:hAnsiTheme="minorHAnsi" w:cstheme="minorHAnsi"/>
                <w:color w:val="FFFFFF"/>
                <w:sz w:val="16"/>
                <w:szCs w:val="16"/>
                <w:lang w:val="en-CA"/>
              </w:rPr>
            </w:pPr>
            <w:r w:rsidRPr="00AC0422">
              <w:rPr>
                <w:rFonts w:asciiTheme="minorHAnsi" w:eastAsia="Times New Roman" w:hAnsiTheme="minorHAnsi" w:cstheme="minorHAnsi"/>
                <w:color w:val="FFFFFF"/>
                <w:sz w:val="16"/>
                <w:szCs w:val="16"/>
                <w:lang w:val="en-CA"/>
              </w:rPr>
              <w:t xml:space="preserve">            252,390.00 </w:t>
            </w:r>
          </w:p>
        </w:tc>
        <w:tc>
          <w:tcPr>
            <w:tcW w:w="980" w:type="dxa"/>
            <w:tcBorders>
              <w:top w:val="nil"/>
              <w:left w:val="nil"/>
              <w:bottom w:val="nil"/>
              <w:right w:val="single" w:sz="4" w:space="0" w:color="auto"/>
            </w:tcBorders>
            <w:shd w:val="clear" w:color="000000" w:fill="3494BA"/>
            <w:noWrap/>
            <w:vAlign w:val="center"/>
            <w:hideMark/>
          </w:tcPr>
          <w:p w14:paraId="08FD40AB" w14:textId="77777777" w:rsidR="00086132" w:rsidRPr="00AC0422" w:rsidRDefault="00086132" w:rsidP="00086132">
            <w:pPr>
              <w:spacing w:after="0"/>
              <w:jc w:val="left"/>
              <w:rPr>
                <w:rFonts w:asciiTheme="minorHAnsi" w:eastAsia="Times New Roman" w:hAnsiTheme="minorHAnsi" w:cstheme="minorHAnsi"/>
                <w:color w:val="FFFFFF"/>
                <w:sz w:val="16"/>
                <w:szCs w:val="16"/>
                <w:lang w:val="en-CA"/>
              </w:rPr>
            </w:pPr>
            <w:r w:rsidRPr="00AC0422">
              <w:rPr>
                <w:rFonts w:asciiTheme="minorHAnsi" w:eastAsia="Times New Roman" w:hAnsiTheme="minorHAnsi" w:cstheme="minorHAnsi"/>
                <w:color w:val="FFFFFF"/>
                <w:sz w:val="16"/>
                <w:szCs w:val="16"/>
                <w:lang w:val="en-CA"/>
              </w:rPr>
              <w:t xml:space="preserve">                  2,469,650.00 </w:t>
            </w:r>
          </w:p>
        </w:tc>
        <w:tc>
          <w:tcPr>
            <w:tcW w:w="647" w:type="dxa"/>
            <w:tcBorders>
              <w:top w:val="nil"/>
              <w:left w:val="nil"/>
              <w:bottom w:val="nil"/>
              <w:right w:val="single" w:sz="4" w:space="0" w:color="auto"/>
            </w:tcBorders>
            <w:shd w:val="clear" w:color="000000" w:fill="3494BA"/>
            <w:noWrap/>
            <w:vAlign w:val="center"/>
            <w:hideMark/>
          </w:tcPr>
          <w:p w14:paraId="76A684FC" w14:textId="77777777" w:rsidR="00086132" w:rsidRPr="00AC0422" w:rsidRDefault="00086132" w:rsidP="00086132">
            <w:pPr>
              <w:spacing w:after="0"/>
              <w:jc w:val="center"/>
              <w:rPr>
                <w:rFonts w:asciiTheme="minorHAnsi" w:eastAsia="Times New Roman" w:hAnsiTheme="minorHAnsi" w:cstheme="minorHAnsi"/>
                <w:color w:val="FFFFFF"/>
                <w:sz w:val="16"/>
                <w:szCs w:val="16"/>
                <w:lang w:val="en-CA"/>
              </w:rPr>
            </w:pPr>
            <w:r w:rsidRPr="00AC0422">
              <w:rPr>
                <w:rFonts w:asciiTheme="minorHAnsi" w:eastAsia="Times New Roman" w:hAnsiTheme="minorHAnsi" w:cstheme="minorHAnsi"/>
                <w:color w:val="FFFFFF"/>
                <w:sz w:val="16"/>
                <w:szCs w:val="16"/>
                <w:lang w:val="en-CA"/>
              </w:rPr>
              <w:t> </w:t>
            </w:r>
          </w:p>
        </w:tc>
      </w:tr>
      <w:tr w:rsidR="00086132" w:rsidRPr="00AC0422" w14:paraId="338D3A00" w14:textId="77777777" w:rsidTr="00086132">
        <w:trPr>
          <w:trHeight w:val="294"/>
        </w:trPr>
        <w:tc>
          <w:tcPr>
            <w:tcW w:w="1772" w:type="dxa"/>
            <w:vMerge w:val="restart"/>
            <w:tcBorders>
              <w:top w:val="nil"/>
              <w:left w:val="single" w:sz="4" w:space="0" w:color="auto"/>
              <w:bottom w:val="single" w:sz="4" w:space="0" w:color="auto"/>
              <w:right w:val="single" w:sz="4" w:space="0" w:color="auto"/>
            </w:tcBorders>
            <w:shd w:val="clear" w:color="000000" w:fill="CEDBE6"/>
            <w:vAlign w:val="center"/>
            <w:hideMark/>
          </w:tcPr>
          <w:p w14:paraId="161ABC67"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Project Management Cost (PMC)</w:t>
            </w:r>
          </w:p>
        </w:tc>
        <w:tc>
          <w:tcPr>
            <w:tcW w:w="1456" w:type="dxa"/>
            <w:vMerge w:val="restart"/>
            <w:tcBorders>
              <w:top w:val="nil"/>
              <w:left w:val="single" w:sz="4" w:space="0" w:color="auto"/>
              <w:bottom w:val="single" w:sz="4" w:space="0" w:color="auto"/>
              <w:right w:val="single" w:sz="4" w:space="0" w:color="auto"/>
            </w:tcBorders>
            <w:shd w:val="clear" w:color="auto" w:fill="auto"/>
            <w:vAlign w:val="center"/>
            <w:hideMark/>
          </w:tcPr>
          <w:p w14:paraId="1ABA6DFF"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Project Management Cost (PMC)</w:t>
            </w:r>
          </w:p>
        </w:tc>
        <w:tc>
          <w:tcPr>
            <w:tcW w:w="1151" w:type="dxa"/>
            <w:vMerge w:val="restart"/>
            <w:tcBorders>
              <w:top w:val="nil"/>
              <w:left w:val="single" w:sz="4" w:space="0" w:color="auto"/>
              <w:bottom w:val="single" w:sz="4" w:space="0" w:color="auto"/>
              <w:right w:val="single" w:sz="4" w:space="0" w:color="auto"/>
            </w:tcBorders>
            <w:shd w:val="clear" w:color="auto" w:fill="auto"/>
            <w:vAlign w:val="center"/>
            <w:hideMark/>
          </w:tcPr>
          <w:p w14:paraId="7D1A9A69"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UNDP</w:t>
            </w:r>
          </w:p>
        </w:tc>
        <w:tc>
          <w:tcPr>
            <w:tcW w:w="1148" w:type="dxa"/>
            <w:vMerge w:val="restart"/>
            <w:tcBorders>
              <w:top w:val="nil"/>
              <w:left w:val="single" w:sz="4" w:space="0" w:color="auto"/>
              <w:bottom w:val="single" w:sz="4" w:space="0" w:color="auto"/>
              <w:right w:val="single" w:sz="4" w:space="0" w:color="auto"/>
            </w:tcBorders>
            <w:shd w:val="clear" w:color="auto" w:fill="auto"/>
            <w:vAlign w:val="center"/>
            <w:hideMark/>
          </w:tcPr>
          <w:p w14:paraId="00A2B8FE"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66001</w:t>
            </w:r>
          </w:p>
        </w:tc>
        <w:tc>
          <w:tcPr>
            <w:tcW w:w="1148" w:type="dxa"/>
            <w:vMerge w:val="restart"/>
            <w:tcBorders>
              <w:top w:val="nil"/>
              <w:left w:val="single" w:sz="4" w:space="0" w:color="auto"/>
              <w:bottom w:val="single" w:sz="4" w:space="0" w:color="auto"/>
              <w:right w:val="single" w:sz="4" w:space="0" w:color="auto"/>
            </w:tcBorders>
            <w:shd w:val="clear" w:color="auto" w:fill="auto"/>
            <w:vAlign w:val="center"/>
            <w:hideMark/>
          </w:tcPr>
          <w:p w14:paraId="7D9F8BB6"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12526</w:t>
            </w:r>
          </w:p>
        </w:tc>
        <w:tc>
          <w:tcPr>
            <w:tcW w:w="1084" w:type="dxa"/>
            <w:tcBorders>
              <w:top w:val="nil"/>
              <w:left w:val="nil"/>
              <w:bottom w:val="single" w:sz="4" w:space="0" w:color="auto"/>
              <w:right w:val="single" w:sz="4" w:space="0" w:color="auto"/>
            </w:tcBorders>
            <w:shd w:val="clear" w:color="auto" w:fill="auto"/>
            <w:vAlign w:val="center"/>
            <w:hideMark/>
          </w:tcPr>
          <w:p w14:paraId="6CBFC21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71300</w:t>
            </w:r>
          </w:p>
        </w:tc>
        <w:tc>
          <w:tcPr>
            <w:tcW w:w="1732" w:type="dxa"/>
            <w:tcBorders>
              <w:top w:val="nil"/>
              <w:left w:val="nil"/>
              <w:bottom w:val="single" w:sz="4" w:space="0" w:color="auto"/>
              <w:right w:val="single" w:sz="4" w:space="0" w:color="auto"/>
            </w:tcBorders>
            <w:shd w:val="clear" w:color="auto" w:fill="auto"/>
            <w:vAlign w:val="center"/>
            <w:hideMark/>
          </w:tcPr>
          <w:p w14:paraId="13861D90"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Consultant - Individual - Local</w:t>
            </w:r>
          </w:p>
        </w:tc>
        <w:tc>
          <w:tcPr>
            <w:tcW w:w="758" w:type="dxa"/>
            <w:tcBorders>
              <w:top w:val="single" w:sz="4" w:space="0" w:color="auto"/>
              <w:left w:val="nil"/>
              <w:bottom w:val="single" w:sz="4" w:space="0" w:color="auto"/>
              <w:right w:val="single" w:sz="4" w:space="0" w:color="auto"/>
            </w:tcBorders>
            <w:shd w:val="clear" w:color="auto" w:fill="auto"/>
            <w:noWrap/>
            <w:vAlign w:val="center"/>
            <w:hideMark/>
          </w:tcPr>
          <w:p w14:paraId="1B28E71F"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30,720.00 </w:t>
            </w:r>
          </w:p>
        </w:tc>
        <w:tc>
          <w:tcPr>
            <w:tcW w:w="758" w:type="dxa"/>
            <w:tcBorders>
              <w:top w:val="single" w:sz="4" w:space="0" w:color="auto"/>
              <w:left w:val="nil"/>
              <w:bottom w:val="single" w:sz="4" w:space="0" w:color="auto"/>
              <w:right w:val="single" w:sz="4" w:space="0" w:color="auto"/>
            </w:tcBorders>
            <w:shd w:val="clear" w:color="auto" w:fill="auto"/>
            <w:noWrap/>
            <w:vAlign w:val="center"/>
            <w:hideMark/>
          </w:tcPr>
          <w:p w14:paraId="0B37408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61,440.00 </w:t>
            </w:r>
          </w:p>
        </w:tc>
        <w:tc>
          <w:tcPr>
            <w:tcW w:w="758" w:type="dxa"/>
            <w:tcBorders>
              <w:top w:val="single" w:sz="4" w:space="0" w:color="auto"/>
              <w:left w:val="nil"/>
              <w:bottom w:val="single" w:sz="4" w:space="0" w:color="auto"/>
              <w:right w:val="single" w:sz="4" w:space="0" w:color="auto"/>
            </w:tcBorders>
            <w:shd w:val="clear" w:color="auto" w:fill="auto"/>
            <w:noWrap/>
            <w:vAlign w:val="center"/>
            <w:hideMark/>
          </w:tcPr>
          <w:p w14:paraId="61B2E0E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46,080.00 </w:t>
            </w:r>
          </w:p>
        </w:tc>
        <w:tc>
          <w:tcPr>
            <w:tcW w:w="758" w:type="dxa"/>
            <w:tcBorders>
              <w:top w:val="single" w:sz="4" w:space="0" w:color="auto"/>
              <w:left w:val="nil"/>
              <w:bottom w:val="single" w:sz="4" w:space="0" w:color="auto"/>
              <w:right w:val="single" w:sz="4" w:space="0" w:color="auto"/>
            </w:tcBorders>
            <w:shd w:val="clear" w:color="auto" w:fill="auto"/>
            <w:noWrap/>
            <w:vAlign w:val="center"/>
            <w:hideMark/>
          </w:tcPr>
          <w:p w14:paraId="266A7BF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15,360.00 </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14:paraId="5E22BD92"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153,600.00 </w:t>
            </w:r>
          </w:p>
        </w:tc>
        <w:tc>
          <w:tcPr>
            <w:tcW w:w="647" w:type="dxa"/>
            <w:tcBorders>
              <w:top w:val="single" w:sz="4" w:space="0" w:color="auto"/>
              <w:left w:val="nil"/>
              <w:bottom w:val="single" w:sz="4" w:space="0" w:color="auto"/>
              <w:right w:val="single" w:sz="4" w:space="0" w:color="auto"/>
            </w:tcBorders>
            <w:shd w:val="clear" w:color="auto" w:fill="auto"/>
            <w:noWrap/>
            <w:vAlign w:val="center"/>
            <w:hideMark/>
          </w:tcPr>
          <w:p w14:paraId="75CF7A21"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AK</w:t>
            </w:r>
          </w:p>
        </w:tc>
      </w:tr>
      <w:tr w:rsidR="00086132" w:rsidRPr="00AC0422" w14:paraId="4CE6778A" w14:textId="77777777" w:rsidTr="00086132">
        <w:trPr>
          <w:trHeight w:val="487"/>
        </w:trPr>
        <w:tc>
          <w:tcPr>
            <w:tcW w:w="1772" w:type="dxa"/>
            <w:vMerge/>
            <w:tcBorders>
              <w:top w:val="nil"/>
              <w:left w:val="single" w:sz="4" w:space="0" w:color="auto"/>
              <w:bottom w:val="single" w:sz="4" w:space="0" w:color="auto"/>
              <w:right w:val="single" w:sz="4" w:space="0" w:color="auto"/>
            </w:tcBorders>
            <w:vAlign w:val="center"/>
            <w:hideMark/>
          </w:tcPr>
          <w:p w14:paraId="4BF6EF2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456" w:type="dxa"/>
            <w:vMerge/>
            <w:tcBorders>
              <w:top w:val="nil"/>
              <w:left w:val="single" w:sz="4" w:space="0" w:color="auto"/>
              <w:bottom w:val="single" w:sz="4" w:space="0" w:color="auto"/>
              <w:right w:val="single" w:sz="4" w:space="0" w:color="auto"/>
            </w:tcBorders>
            <w:vAlign w:val="center"/>
            <w:hideMark/>
          </w:tcPr>
          <w:p w14:paraId="5B40E31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single" w:sz="4" w:space="0" w:color="auto"/>
              <w:right w:val="single" w:sz="4" w:space="0" w:color="auto"/>
            </w:tcBorders>
            <w:vAlign w:val="center"/>
            <w:hideMark/>
          </w:tcPr>
          <w:p w14:paraId="6354A6DF"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419297B9"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2FD35E7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5ADBAEEE"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74100</w:t>
            </w:r>
          </w:p>
        </w:tc>
        <w:tc>
          <w:tcPr>
            <w:tcW w:w="1732" w:type="dxa"/>
            <w:tcBorders>
              <w:top w:val="nil"/>
              <w:left w:val="nil"/>
              <w:bottom w:val="single" w:sz="4" w:space="0" w:color="auto"/>
              <w:right w:val="single" w:sz="4" w:space="0" w:color="auto"/>
            </w:tcBorders>
            <w:shd w:val="clear" w:color="auto" w:fill="auto"/>
            <w:vAlign w:val="center"/>
            <w:hideMark/>
          </w:tcPr>
          <w:p w14:paraId="38D2C70A"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Professional Services-Audit Fees</w:t>
            </w:r>
          </w:p>
        </w:tc>
        <w:tc>
          <w:tcPr>
            <w:tcW w:w="758" w:type="dxa"/>
            <w:tcBorders>
              <w:top w:val="nil"/>
              <w:left w:val="nil"/>
              <w:bottom w:val="single" w:sz="4" w:space="0" w:color="auto"/>
              <w:right w:val="single" w:sz="4" w:space="0" w:color="auto"/>
            </w:tcBorders>
            <w:shd w:val="clear" w:color="auto" w:fill="auto"/>
            <w:noWrap/>
            <w:vAlign w:val="center"/>
            <w:hideMark/>
          </w:tcPr>
          <w:p w14:paraId="092A97A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1,000.00 </w:t>
            </w:r>
          </w:p>
        </w:tc>
        <w:tc>
          <w:tcPr>
            <w:tcW w:w="758" w:type="dxa"/>
            <w:tcBorders>
              <w:top w:val="nil"/>
              <w:left w:val="nil"/>
              <w:bottom w:val="single" w:sz="4" w:space="0" w:color="auto"/>
              <w:right w:val="single" w:sz="4" w:space="0" w:color="auto"/>
            </w:tcBorders>
            <w:shd w:val="clear" w:color="auto" w:fill="auto"/>
            <w:noWrap/>
            <w:vAlign w:val="center"/>
            <w:hideMark/>
          </w:tcPr>
          <w:p w14:paraId="4208FDBE"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2,000.00 </w:t>
            </w:r>
          </w:p>
        </w:tc>
        <w:tc>
          <w:tcPr>
            <w:tcW w:w="758" w:type="dxa"/>
            <w:tcBorders>
              <w:top w:val="nil"/>
              <w:left w:val="nil"/>
              <w:bottom w:val="single" w:sz="4" w:space="0" w:color="auto"/>
              <w:right w:val="single" w:sz="4" w:space="0" w:color="auto"/>
            </w:tcBorders>
            <w:shd w:val="clear" w:color="auto" w:fill="auto"/>
            <w:noWrap/>
            <w:vAlign w:val="center"/>
            <w:hideMark/>
          </w:tcPr>
          <w:p w14:paraId="6DFB499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1,500.00 </w:t>
            </w:r>
          </w:p>
        </w:tc>
        <w:tc>
          <w:tcPr>
            <w:tcW w:w="758" w:type="dxa"/>
            <w:tcBorders>
              <w:top w:val="nil"/>
              <w:left w:val="nil"/>
              <w:bottom w:val="single" w:sz="4" w:space="0" w:color="auto"/>
              <w:right w:val="single" w:sz="4" w:space="0" w:color="auto"/>
            </w:tcBorders>
            <w:shd w:val="clear" w:color="auto" w:fill="auto"/>
            <w:noWrap/>
            <w:vAlign w:val="center"/>
            <w:hideMark/>
          </w:tcPr>
          <w:p w14:paraId="5C42674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500.00 </w:t>
            </w:r>
          </w:p>
        </w:tc>
        <w:tc>
          <w:tcPr>
            <w:tcW w:w="980" w:type="dxa"/>
            <w:tcBorders>
              <w:top w:val="nil"/>
              <w:left w:val="nil"/>
              <w:bottom w:val="single" w:sz="4" w:space="0" w:color="auto"/>
              <w:right w:val="single" w:sz="4" w:space="0" w:color="auto"/>
            </w:tcBorders>
            <w:shd w:val="clear" w:color="auto" w:fill="auto"/>
            <w:noWrap/>
            <w:vAlign w:val="center"/>
            <w:hideMark/>
          </w:tcPr>
          <w:p w14:paraId="7A816875"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5,000.00 </w:t>
            </w:r>
          </w:p>
        </w:tc>
        <w:tc>
          <w:tcPr>
            <w:tcW w:w="647" w:type="dxa"/>
            <w:tcBorders>
              <w:top w:val="nil"/>
              <w:left w:val="nil"/>
              <w:bottom w:val="single" w:sz="4" w:space="0" w:color="auto"/>
              <w:right w:val="single" w:sz="4" w:space="0" w:color="auto"/>
            </w:tcBorders>
            <w:shd w:val="clear" w:color="auto" w:fill="auto"/>
            <w:noWrap/>
            <w:vAlign w:val="center"/>
            <w:hideMark/>
          </w:tcPr>
          <w:p w14:paraId="519143E5"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AL</w:t>
            </w:r>
          </w:p>
        </w:tc>
      </w:tr>
      <w:tr w:rsidR="00086132" w:rsidRPr="00AC0422" w14:paraId="7D940720" w14:textId="77777777" w:rsidTr="00086132">
        <w:trPr>
          <w:trHeight w:val="304"/>
        </w:trPr>
        <w:tc>
          <w:tcPr>
            <w:tcW w:w="1772" w:type="dxa"/>
            <w:vMerge/>
            <w:tcBorders>
              <w:top w:val="nil"/>
              <w:left w:val="single" w:sz="4" w:space="0" w:color="auto"/>
              <w:bottom w:val="single" w:sz="4" w:space="0" w:color="auto"/>
              <w:right w:val="single" w:sz="4" w:space="0" w:color="auto"/>
            </w:tcBorders>
            <w:vAlign w:val="center"/>
            <w:hideMark/>
          </w:tcPr>
          <w:p w14:paraId="4084D0AF"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456" w:type="dxa"/>
            <w:vMerge/>
            <w:tcBorders>
              <w:top w:val="nil"/>
              <w:left w:val="single" w:sz="4" w:space="0" w:color="auto"/>
              <w:bottom w:val="single" w:sz="4" w:space="0" w:color="auto"/>
              <w:right w:val="single" w:sz="4" w:space="0" w:color="auto"/>
            </w:tcBorders>
            <w:vAlign w:val="center"/>
            <w:hideMark/>
          </w:tcPr>
          <w:p w14:paraId="4246A47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single" w:sz="4" w:space="0" w:color="auto"/>
              <w:right w:val="single" w:sz="4" w:space="0" w:color="auto"/>
            </w:tcBorders>
            <w:vAlign w:val="center"/>
            <w:hideMark/>
          </w:tcPr>
          <w:p w14:paraId="2B20295F"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0BDFE79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27C39F83"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16CB256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71600</w:t>
            </w:r>
          </w:p>
        </w:tc>
        <w:tc>
          <w:tcPr>
            <w:tcW w:w="1732" w:type="dxa"/>
            <w:tcBorders>
              <w:top w:val="nil"/>
              <w:left w:val="nil"/>
              <w:bottom w:val="single" w:sz="4" w:space="0" w:color="auto"/>
              <w:right w:val="single" w:sz="4" w:space="0" w:color="auto"/>
            </w:tcBorders>
            <w:shd w:val="clear" w:color="auto" w:fill="auto"/>
            <w:vAlign w:val="center"/>
            <w:hideMark/>
          </w:tcPr>
          <w:p w14:paraId="0A66BED5"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Travel – Local</w:t>
            </w:r>
          </w:p>
        </w:tc>
        <w:tc>
          <w:tcPr>
            <w:tcW w:w="758" w:type="dxa"/>
            <w:tcBorders>
              <w:top w:val="nil"/>
              <w:left w:val="nil"/>
              <w:bottom w:val="single" w:sz="4" w:space="0" w:color="auto"/>
              <w:right w:val="single" w:sz="4" w:space="0" w:color="auto"/>
            </w:tcBorders>
            <w:shd w:val="clear" w:color="auto" w:fill="auto"/>
            <w:noWrap/>
            <w:vAlign w:val="center"/>
            <w:hideMark/>
          </w:tcPr>
          <w:p w14:paraId="22B39FC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400.00 </w:t>
            </w:r>
          </w:p>
        </w:tc>
        <w:tc>
          <w:tcPr>
            <w:tcW w:w="758" w:type="dxa"/>
            <w:tcBorders>
              <w:top w:val="nil"/>
              <w:left w:val="nil"/>
              <w:bottom w:val="single" w:sz="4" w:space="0" w:color="auto"/>
              <w:right w:val="single" w:sz="4" w:space="0" w:color="auto"/>
            </w:tcBorders>
            <w:shd w:val="clear" w:color="auto" w:fill="auto"/>
            <w:noWrap/>
            <w:vAlign w:val="center"/>
            <w:hideMark/>
          </w:tcPr>
          <w:p w14:paraId="6004C00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800.00 </w:t>
            </w:r>
          </w:p>
        </w:tc>
        <w:tc>
          <w:tcPr>
            <w:tcW w:w="758" w:type="dxa"/>
            <w:tcBorders>
              <w:top w:val="nil"/>
              <w:left w:val="nil"/>
              <w:bottom w:val="single" w:sz="4" w:space="0" w:color="auto"/>
              <w:right w:val="single" w:sz="4" w:space="0" w:color="auto"/>
            </w:tcBorders>
            <w:shd w:val="clear" w:color="auto" w:fill="auto"/>
            <w:noWrap/>
            <w:vAlign w:val="center"/>
            <w:hideMark/>
          </w:tcPr>
          <w:p w14:paraId="31478B4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600.00 </w:t>
            </w:r>
          </w:p>
        </w:tc>
        <w:tc>
          <w:tcPr>
            <w:tcW w:w="758" w:type="dxa"/>
            <w:tcBorders>
              <w:top w:val="nil"/>
              <w:left w:val="nil"/>
              <w:bottom w:val="single" w:sz="4" w:space="0" w:color="auto"/>
              <w:right w:val="single" w:sz="4" w:space="0" w:color="auto"/>
            </w:tcBorders>
            <w:shd w:val="clear" w:color="auto" w:fill="auto"/>
            <w:noWrap/>
            <w:vAlign w:val="center"/>
            <w:hideMark/>
          </w:tcPr>
          <w:p w14:paraId="20B63E17"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200.00 </w:t>
            </w:r>
          </w:p>
        </w:tc>
        <w:tc>
          <w:tcPr>
            <w:tcW w:w="980" w:type="dxa"/>
            <w:tcBorders>
              <w:top w:val="nil"/>
              <w:left w:val="nil"/>
              <w:bottom w:val="single" w:sz="4" w:space="0" w:color="auto"/>
              <w:right w:val="single" w:sz="4" w:space="0" w:color="auto"/>
            </w:tcBorders>
            <w:shd w:val="clear" w:color="auto" w:fill="auto"/>
            <w:noWrap/>
            <w:vAlign w:val="center"/>
            <w:hideMark/>
          </w:tcPr>
          <w:p w14:paraId="0A78CD67"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2,000.00 </w:t>
            </w:r>
          </w:p>
        </w:tc>
        <w:tc>
          <w:tcPr>
            <w:tcW w:w="647" w:type="dxa"/>
            <w:tcBorders>
              <w:top w:val="nil"/>
              <w:left w:val="nil"/>
              <w:bottom w:val="single" w:sz="4" w:space="0" w:color="auto"/>
              <w:right w:val="single" w:sz="4" w:space="0" w:color="auto"/>
            </w:tcBorders>
            <w:shd w:val="clear" w:color="auto" w:fill="auto"/>
            <w:noWrap/>
            <w:vAlign w:val="center"/>
            <w:hideMark/>
          </w:tcPr>
          <w:p w14:paraId="576CA21D"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AM</w:t>
            </w:r>
          </w:p>
        </w:tc>
      </w:tr>
      <w:tr w:rsidR="00086132" w:rsidRPr="00AC0422" w14:paraId="0BD8209D" w14:textId="77777777" w:rsidTr="00086132">
        <w:trPr>
          <w:trHeight w:val="304"/>
        </w:trPr>
        <w:tc>
          <w:tcPr>
            <w:tcW w:w="1772" w:type="dxa"/>
            <w:vMerge/>
            <w:tcBorders>
              <w:top w:val="nil"/>
              <w:left w:val="single" w:sz="4" w:space="0" w:color="auto"/>
              <w:bottom w:val="single" w:sz="4" w:space="0" w:color="auto"/>
              <w:right w:val="single" w:sz="4" w:space="0" w:color="auto"/>
            </w:tcBorders>
            <w:vAlign w:val="center"/>
            <w:hideMark/>
          </w:tcPr>
          <w:p w14:paraId="32E2599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456" w:type="dxa"/>
            <w:vMerge/>
            <w:tcBorders>
              <w:top w:val="nil"/>
              <w:left w:val="single" w:sz="4" w:space="0" w:color="auto"/>
              <w:bottom w:val="single" w:sz="4" w:space="0" w:color="auto"/>
              <w:right w:val="single" w:sz="4" w:space="0" w:color="auto"/>
            </w:tcBorders>
            <w:vAlign w:val="center"/>
            <w:hideMark/>
          </w:tcPr>
          <w:p w14:paraId="30942FE7"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single" w:sz="4" w:space="0" w:color="auto"/>
              <w:right w:val="single" w:sz="4" w:space="0" w:color="auto"/>
            </w:tcBorders>
            <w:vAlign w:val="center"/>
            <w:hideMark/>
          </w:tcPr>
          <w:p w14:paraId="3FFE8B4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2332253F"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55CB9E6E"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7F89B2CE"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72500</w:t>
            </w:r>
          </w:p>
        </w:tc>
        <w:tc>
          <w:tcPr>
            <w:tcW w:w="1732" w:type="dxa"/>
            <w:tcBorders>
              <w:top w:val="nil"/>
              <w:left w:val="nil"/>
              <w:bottom w:val="single" w:sz="4" w:space="0" w:color="auto"/>
              <w:right w:val="single" w:sz="4" w:space="0" w:color="auto"/>
            </w:tcBorders>
            <w:shd w:val="clear" w:color="auto" w:fill="auto"/>
            <w:vAlign w:val="center"/>
            <w:hideMark/>
          </w:tcPr>
          <w:p w14:paraId="609D88A9"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Office Supplies</w:t>
            </w:r>
          </w:p>
        </w:tc>
        <w:tc>
          <w:tcPr>
            <w:tcW w:w="758" w:type="dxa"/>
            <w:tcBorders>
              <w:top w:val="nil"/>
              <w:left w:val="nil"/>
              <w:bottom w:val="single" w:sz="4" w:space="0" w:color="auto"/>
              <w:right w:val="single" w:sz="4" w:space="0" w:color="auto"/>
            </w:tcBorders>
            <w:shd w:val="clear" w:color="auto" w:fill="auto"/>
            <w:noWrap/>
            <w:vAlign w:val="center"/>
            <w:hideMark/>
          </w:tcPr>
          <w:p w14:paraId="1690B6F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100.00 </w:t>
            </w:r>
          </w:p>
        </w:tc>
        <w:tc>
          <w:tcPr>
            <w:tcW w:w="758" w:type="dxa"/>
            <w:tcBorders>
              <w:top w:val="nil"/>
              <w:left w:val="nil"/>
              <w:bottom w:val="single" w:sz="4" w:space="0" w:color="auto"/>
              <w:right w:val="single" w:sz="4" w:space="0" w:color="auto"/>
            </w:tcBorders>
            <w:shd w:val="clear" w:color="auto" w:fill="auto"/>
            <w:noWrap/>
            <w:vAlign w:val="center"/>
            <w:hideMark/>
          </w:tcPr>
          <w:p w14:paraId="48C77646"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200.00 </w:t>
            </w:r>
          </w:p>
        </w:tc>
        <w:tc>
          <w:tcPr>
            <w:tcW w:w="758" w:type="dxa"/>
            <w:tcBorders>
              <w:top w:val="nil"/>
              <w:left w:val="nil"/>
              <w:bottom w:val="single" w:sz="4" w:space="0" w:color="auto"/>
              <w:right w:val="single" w:sz="4" w:space="0" w:color="auto"/>
            </w:tcBorders>
            <w:shd w:val="clear" w:color="auto" w:fill="auto"/>
            <w:noWrap/>
            <w:vAlign w:val="center"/>
            <w:hideMark/>
          </w:tcPr>
          <w:p w14:paraId="271127C9"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150.00 </w:t>
            </w:r>
          </w:p>
        </w:tc>
        <w:tc>
          <w:tcPr>
            <w:tcW w:w="758" w:type="dxa"/>
            <w:tcBorders>
              <w:top w:val="nil"/>
              <w:left w:val="nil"/>
              <w:bottom w:val="single" w:sz="4" w:space="0" w:color="auto"/>
              <w:right w:val="single" w:sz="4" w:space="0" w:color="auto"/>
            </w:tcBorders>
            <w:shd w:val="clear" w:color="auto" w:fill="auto"/>
            <w:noWrap/>
            <w:vAlign w:val="center"/>
            <w:hideMark/>
          </w:tcPr>
          <w:p w14:paraId="58300104"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50.00 </w:t>
            </w:r>
          </w:p>
        </w:tc>
        <w:tc>
          <w:tcPr>
            <w:tcW w:w="980" w:type="dxa"/>
            <w:tcBorders>
              <w:top w:val="nil"/>
              <w:left w:val="nil"/>
              <w:bottom w:val="single" w:sz="4" w:space="0" w:color="auto"/>
              <w:right w:val="single" w:sz="4" w:space="0" w:color="auto"/>
            </w:tcBorders>
            <w:shd w:val="clear" w:color="auto" w:fill="auto"/>
            <w:noWrap/>
            <w:vAlign w:val="center"/>
            <w:hideMark/>
          </w:tcPr>
          <w:p w14:paraId="44A3DCBB"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500.00 </w:t>
            </w:r>
          </w:p>
        </w:tc>
        <w:tc>
          <w:tcPr>
            <w:tcW w:w="647" w:type="dxa"/>
            <w:tcBorders>
              <w:top w:val="nil"/>
              <w:left w:val="nil"/>
              <w:bottom w:val="single" w:sz="4" w:space="0" w:color="auto"/>
              <w:right w:val="single" w:sz="4" w:space="0" w:color="auto"/>
            </w:tcBorders>
            <w:shd w:val="clear" w:color="auto" w:fill="auto"/>
            <w:noWrap/>
            <w:vAlign w:val="center"/>
            <w:hideMark/>
          </w:tcPr>
          <w:p w14:paraId="5D57C973"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AN</w:t>
            </w:r>
          </w:p>
        </w:tc>
      </w:tr>
      <w:tr w:rsidR="00086132" w:rsidRPr="00AC0422" w14:paraId="4375B026" w14:textId="77777777" w:rsidTr="00086132">
        <w:trPr>
          <w:trHeight w:val="304"/>
        </w:trPr>
        <w:tc>
          <w:tcPr>
            <w:tcW w:w="1772" w:type="dxa"/>
            <w:vMerge/>
            <w:tcBorders>
              <w:top w:val="nil"/>
              <w:left w:val="single" w:sz="4" w:space="0" w:color="auto"/>
              <w:bottom w:val="single" w:sz="4" w:space="0" w:color="auto"/>
              <w:right w:val="single" w:sz="4" w:space="0" w:color="auto"/>
            </w:tcBorders>
            <w:vAlign w:val="center"/>
            <w:hideMark/>
          </w:tcPr>
          <w:p w14:paraId="7D67E6B9"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456" w:type="dxa"/>
            <w:vMerge/>
            <w:tcBorders>
              <w:top w:val="nil"/>
              <w:left w:val="single" w:sz="4" w:space="0" w:color="auto"/>
              <w:bottom w:val="single" w:sz="4" w:space="0" w:color="auto"/>
              <w:right w:val="single" w:sz="4" w:space="0" w:color="auto"/>
            </w:tcBorders>
            <w:vAlign w:val="center"/>
            <w:hideMark/>
          </w:tcPr>
          <w:p w14:paraId="160B302F"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single" w:sz="4" w:space="0" w:color="auto"/>
              <w:right w:val="single" w:sz="4" w:space="0" w:color="auto"/>
            </w:tcBorders>
            <w:vAlign w:val="center"/>
            <w:hideMark/>
          </w:tcPr>
          <w:p w14:paraId="464440FB"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437DC915"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4B97F3AF"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single" w:sz="4" w:space="0" w:color="auto"/>
              <w:right w:val="single" w:sz="4" w:space="0" w:color="auto"/>
            </w:tcBorders>
            <w:shd w:val="clear" w:color="auto" w:fill="auto"/>
            <w:vAlign w:val="center"/>
            <w:hideMark/>
          </w:tcPr>
          <w:p w14:paraId="1F6C5E3D"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72800</w:t>
            </w:r>
          </w:p>
        </w:tc>
        <w:tc>
          <w:tcPr>
            <w:tcW w:w="1732" w:type="dxa"/>
            <w:tcBorders>
              <w:top w:val="nil"/>
              <w:left w:val="nil"/>
              <w:bottom w:val="single" w:sz="4" w:space="0" w:color="auto"/>
              <w:right w:val="single" w:sz="4" w:space="0" w:color="auto"/>
            </w:tcBorders>
            <w:shd w:val="clear" w:color="auto" w:fill="auto"/>
            <w:vAlign w:val="center"/>
            <w:hideMark/>
          </w:tcPr>
          <w:p w14:paraId="1B67FF96"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IT Equipment</w:t>
            </w:r>
          </w:p>
        </w:tc>
        <w:tc>
          <w:tcPr>
            <w:tcW w:w="758" w:type="dxa"/>
            <w:tcBorders>
              <w:top w:val="nil"/>
              <w:left w:val="nil"/>
              <w:bottom w:val="single" w:sz="4" w:space="0" w:color="auto"/>
              <w:right w:val="single" w:sz="4" w:space="0" w:color="auto"/>
            </w:tcBorders>
            <w:shd w:val="clear" w:color="auto" w:fill="auto"/>
            <w:noWrap/>
            <w:vAlign w:val="center"/>
            <w:hideMark/>
          </w:tcPr>
          <w:p w14:paraId="7FC4E48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800.00 </w:t>
            </w:r>
          </w:p>
        </w:tc>
        <w:tc>
          <w:tcPr>
            <w:tcW w:w="758" w:type="dxa"/>
            <w:tcBorders>
              <w:top w:val="nil"/>
              <w:left w:val="nil"/>
              <w:bottom w:val="single" w:sz="4" w:space="0" w:color="auto"/>
              <w:right w:val="single" w:sz="4" w:space="0" w:color="auto"/>
            </w:tcBorders>
            <w:shd w:val="clear" w:color="auto" w:fill="auto"/>
            <w:noWrap/>
            <w:vAlign w:val="center"/>
            <w:hideMark/>
          </w:tcPr>
          <w:p w14:paraId="3F7FCA03"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1,600.00 </w:t>
            </w:r>
          </w:p>
        </w:tc>
        <w:tc>
          <w:tcPr>
            <w:tcW w:w="758" w:type="dxa"/>
            <w:tcBorders>
              <w:top w:val="nil"/>
              <w:left w:val="nil"/>
              <w:bottom w:val="single" w:sz="4" w:space="0" w:color="auto"/>
              <w:right w:val="single" w:sz="4" w:space="0" w:color="auto"/>
            </w:tcBorders>
            <w:shd w:val="clear" w:color="auto" w:fill="auto"/>
            <w:noWrap/>
            <w:vAlign w:val="center"/>
            <w:hideMark/>
          </w:tcPr>
          <w:p w14:paraId="2475AD22"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1,200.00 </w:t>
            </w:r>
          </w:p>
        </w:tc>
        <w:tc>
          <w:tcPr>
            <w:tcW w:w="758" w:type="dxa"/>
            <w:tcBorders>
              <w:top w:val="nil"/>
              <w:left w:val="nil"/>
              <w:bottom w:val="single" w:sz="4" w:space="0" w:color="auto"/>
              <w:right w:val="single" w:sz="4" w:space="0" w:color="auto"/>
            </w:tcBorders>
            <w:shd w:val="clear" w:color="auto" w:fill="auto"/>
            <w:noWrap/>
            <w:vAlign w:val="center"/>
            <w:hideMark/>
          </w:tcPr>
          <w:p w14:paraId="517FB53C"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400.00 </w:t>
            </w:r>
          </w:p>
        </w:tc>
        <w:tc>
          <w:tcPr>
            <w:tcW w:w="980" w:type="dxa"/>
            <w:tcBorders>
              <w:top w:val="nil"/>
              <w:left w:val="nil"/>
              <w:bottom w:val="single" w:sz="4" w:space="0" w:color="auto"/>
              <w:right w:val="single" w:sz="4" w:space="0" w:color="auto"/>
            </w:tcBorders>
            <w:shd w:val="clear" w:color="auto" w:fill="auto"/>
            <w:noWrap/>
            <w:vAlign w:val="center"/>
            <w:hideMark/>
          </w:tcPr>
          <w:p w14:paraId="2B58AE5E"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4,000.00 </w:t>
            </w:r>
          </w:p>
        </w:tc>
        <w:tc>
          <w:tcPr>
            <w:tcW w:w="647" w:type="dxa"/>
            <w:tcBorders>
              <w:top w:val="nil"/>
              <w:left w:val="nil"/>
              <w:bottom w:val="single" w:sz="4" w:space="0" w:color="auto"/>
              <w:right w:val="single" w:sz="4" w:space="0" w:color="auto"/>
            </w:tcBorders>
            <w:shd w:val="clear" w:color="auto" w:fill="auto"/>
            <w:noWrap/>
            <w:vAlign w:val="center"/>
            <w:hideMark/>
          </w:tcPr>
          <w:p w14:paraId="04261163"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AO</w:t>
            </w:r>
          </w:p>
        </w:tc>
      </w:tr>
      <w:tr w:rsidR="00086132" w:rsidRPr="00AC0422" w14:paraId="3F8D0BF3" w14:textId="77777777" w:rsidTr="00086132">
        <w:trPr>
          <w:trHeight w:val="325"/>
        </w:trPr>
        <w:tc>
          <w:tcPr>
            <w:tcW w:w="1772" w:type="dxa"/>
            <w:vMerge/>
            <w:tcBorders>
              <w:top w:val="nil"/>
              <w:left w:val="single" w:sz="4" w:space="0" w:color="auto"/>
              <w:bottom w:val="single" w:sz="4" w:space="0" w:color="auto"/>
              <w:right w:val="single" w:sz="4" w:space="0" w:color="auto"/>
            </w:tcBorders>
            <w:vAlign w:val="center"/>
            <w:hideMark/>
          </w:tcPr>
          <w:p w14:paraId="14F36997"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456" w:type="dxa"/>
            <w:vMerge/>
            <w:tcBorders>
              <w:top w:val="nil"/>
              <w:left w:val="single" w:sz="4" w:space="0" w:color="auto"/>
              <w:bottom w:val="single" w:sz="4" w:space="0" w:color="auto"/>
              <w:right w:val="single" w:sz="4" w:space="0" w:color="auto"/>
            </w:tcBorders>
            <w:vAlign w:val="center"/>
            <w:hideMark/>
          </w:tcPr>
          <w:p w14:paraId="592679C8"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51" w:type="dxa"/>
            <w:vMerge/>
            <w:tcBorders>
              <w:top w:val="nil"/>
              <w:left w:val="single" w:sz="4" w:space="0" w:color="auto"/>
              <w:bottom w:val="single" w:sz="4" w:space="0" w:color="auto"/>
              <w:right w:val="single" w:sz="4" w:space="0" w:color="auto"/>
            </w:tcBorders>
            <w:vAlign w:val="center"/>
            <w:hideMark/>
          </w:tcPr>
          <w:p w14:paraId="341AC2C7"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01AF0CF6"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148" w:type="dxa"/>
            <w:vMerge/>
            <w:tcBorders>
              <w:top w:val="nil"/>
              <w:left w:val="single" w:sz="4" w:space="0" w:color="auto"/>
              <w:bottom w:val="single" w:sz="4" w:space="0" w:color="auto"/>
              <w:right w:val="single" w:sz="4" w:space="0" w:color="auto"/>
            </w:tcBorders>
            <w:vAlign w:val="center"/>
            <w:hideMark/>
          </w:tcPr>
          <w:p w14:paraId="3390E37A" w14:textId="77777777" w:rsidR="00086132" w:rsidRPr="00AC0422" w:rsidRDefault="00086132" w:rsidP="00086132">
            <w:pPr>
              <w:spacing w:after="0"/>
              <w:jc w:val="left"/>
              <w:rPr>
                <w:rFonts w:asciiTheme="minorHAnsi" w:eastAsia="Times New Roman" w:hAnsiTheme="minorHAnsi" w:cstheme="minorHAnsi"/>
                <w:sz w:val="16"/>
                <w:szCs w:val="16"/>
                <w:lang w:val="en-CA"/>
              </w:rPr>
            </w:pPr>
          </w:p>
        </w:tc>
        <w:tc>
          <w:tcPr>
            <w:tcW w:w="1084" w:type="dxa"/>
            <w:tcBorders>
              <w:top w:val="nil"/>
              <w:left w:val="nil"/>
              <w:bottom w:val="nil"/>
              <w:right w:val="single" w:sz="4" w:space="0" w:color="auto"/>
            </w:tcBorders>
            <w:shd w:val="clear" w:color="auto" w:fill="auto"/>
            <w:vAlign w:val="center"/>
            <w:hideMark/>
          </w:tcPr>
          <w:p w14:paraId="58739C4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74596</w:t>
            </w:r>
          </w:p>
        </w:tc>
        <w:tc>
          <w:tcPr>
            <w:tcW w:w="1732" w:type="dxa"/>
            <w:tcBorders>
              <w:top w:val="nil"/>
              <w:left w:val="nil"/>
              <w:bottom w:val="nil"/>
              <w:right w:val="single" w:sz="4" w:space="0" w:color="auto"/>
            </w:tcBorders>
            <w:shd w:val="clear" w:color="auto" w:fill="auto"/>
            <w:vAlign w:val="center"/>
            <w:hideMark/>
          </w:tcPr>
          <w:p w14:paraId="66405D23"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Services to Project</w:t>
            </w:r>
          </w:p>
        </w:tc>
        <w:tc>
          <w:tcPr>
            <w:tcW w:w="758" w:type="dxa"/>
            <w:tcBorders>
              <w:top w:val="nil"/>
              <w:left w:val="nil"/>
              <w:bottom w:val="nil"/>
              <w:right w:val="single" w:sz="4" w:space="0" w:color="auto"/>
            </w:tcBorders>
            <w:shd w:val="clear" w:color="auto" w:fill="auto"/>
            <w:noWrap/>
            <w:vAlign w:val="center"/>
            <w:hideMark/>
          </w:tcPr>
          <w:p w14:paraId="4E41EAC5"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5,007.00 </w:t>
            </w:r>
          </w:p>
        </w:tc>
        <w:tc>
          <w:tcPr>
            <w:tcW w:w="758" w:type="dxa"/>
            <w:tcBorders>
              <w:top w:val="nil"/>
              <w:left w:val="nil"/>
              <w:bottom w:val="nil"/>
              <w:right w:val="single" w:sz="4" w:space="0" w:color="auto"/>
            </w:tcBorders>
            <w:shd w:val="clear" w:color="auto" w:fill="auto"/>
            <w:noWrap/>
            <w:vAlign w:val="center"/>
            <w:hideMark/>
          </w:tcPr>
          <w:p w14:paraId="51D8665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5,007.00 </w:t>
            </w:r>
          </w:p>
        </w:tc>
        <w:tc>
          <w:tcPr>
            <w:tcW w:w="758" w:type="dxa"/>
            <w:tcBorders>
              <w:top w:val="nil"/>
              <w:left w:val="nil"/>
              <w:bottom w:val="nil"/>
              <w:right w:val="single" w:sz="4" w:space="0" w:color="auto"/>
            </w:tcBorders>
            <w:shd w:val="clear" w:color="auto" w:fill="auto"/>
            <w:noWrap/>
            <w:vAlign w:val="center"/>
            <w:hideMark/>
          </w:tcPr>
          <w:p w14:paraId="75DB5BEA"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5,007.00 </w:t>
            </w:r>
          </w:p>
        </w:tc>
        <w:tc>
          <w:tcPr>
            <w:tcW w:w="758" w:type="dxa"/>
            <w:tcBorders>
              <w:top w:val="nil"/>
              <w:left w:val="nil"/>
              <w:bottom w:val="nil"/>
              <w:right w:val="single" w:sz="4" w:space="0" w:color="auto"/>
            </w:tcBorders>
            <w:shd w:val="clear" w:color="auto" w:fill="auto"/>
            <w:noWrap/>
            <w:vAlign w:val="center"/>
            <w:hideMark/>
          </w:tcPr>
          <w:p w14:paraId="7B621C50" w14:textId="77777777" w:rsidR="00086132" w:rsidRPr="00AC0422" w:rsidRDefault="00086132" w:rsidP="00086132">
            <w:pPr>
              <w:spacing w:after="0"/>
              <w:jc w:val="righ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5,007.00 </w:t>
            </w:r>
          </w:p>
        </w:tc>
        <w:tc>
          <w:tcPr>
            <w:tcW w:w="980" w:type="dxa"/>
            <w:tcBorders>
              <w:top w:val="nil"/>
              <w:left w:val="nil"/>
              <w:bottom w:val="nil"/>
              <w:right w:val="single" w:sz="4" w:space="0" w:color="auto"/>
            </w:tcBorders>
            <w:shd w:val="clear" w:color="auto" w:fill="auto"/>
            <w:noWrap/>
            <w:vAlign w:val="center"/>
            <w:hideMark/>
          </w:tcPr>
          <w:p w14:paraId="7DE51016"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20,028.00 </w:t>
            </w:r>
          </w:p>
        </w:tc>
        <w:tc>
          <w:tcPr>
            <w:tcW w:w="647" w:type="dxa"/>
            <w:tcBorders>
              <w:top w:val="nil"/>
              <w:left w:val="nil"/>
              <w:bottom w:val="nil"/>
              <w:right w:val="single" w:sz="4" w:space="0" w:color="auto"/>
            </w:tcBorders>
            <w:shd w:val="clear" w:color="auto" w:fill="auto"/>
            <w:noWrap/>
            <w:vAlign w:val="center"/>
            <w:hideMark/>
          </w:tcPr>
          <w:p w14:paraId="57A712E7" w14:textId="77777777" w:rsidR="00086132" w:rsidRPr="00AC0422" w:rsidRDefault="00086132" w:rsidP="00086132">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AP</w:t>
            </w:r>
          </w:p>
        </w:tc>
      </w:tr>
      <w:tr w:rsidR="00086132" w:rsidRPr="00AC0422" w14:paraId="129E0110" w14:textId="77777777" w:rsidTr="00086132">
        <w:trPr>
          <w:trHeight w:val="243"/>
        </w:trPr>
        <w:tc>
          <w:tcPr>
            <w:tcW w:w="7762" w:type="dxa"/>
            <w:gridSpan w:val="6"/>
            <w:tcBorders>
              <w:top w:val="single" w:sz="8" w:space="0" w:color="auto"/>
              <w:left w:val="single" w:sz="8" w:space="0" w:color="auto"/>
              <w:bottom w:val="nil"/>
              <w:right w:val="single" w:sz="4" w:space="0" w:color="auto"/>
            </w:tcBorders>
            <w:shd w:val="clear" w:color="000000" w:fill="DEEDCB"/>
            <w:vAlign w:val="center"/>
            <w:hideMark/>
          </w:tcPr>
          <w:p w14:paraId="21102F90"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t>Total PMC</w:t>
            </w:r>
          </w:p>
        </w:tc>
        <w:tc>
          <w:tcPr>
            <w:tcW w:w="1732" w:type="dxa"/>
            <w:tcBorders>
              <w:top w:val="single" w:sz="8" w:space="0" w:color="auto"/>
              <w:left w:val="nil"/>
              <w:bottom w:val="nil"/>
              <w:right w:val="single" w:sz="4" w:space="0" w:color="auto"/>
            </w:tcBorders>
            <w:shd w:val="clear" w:color="000000" w:fill="DEEDCB"/>
            <w:vAlign w:val="center"/>
            <w:hideMark/>
          </w:tcPr>
          <w:p w14:paraId="04FD695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c>
          <w:tcPr>
            <w:tcW w:w="758" w:type="dxa"/>
            <w:tcBorders>
              <w:top w:val="single" w:sz="8" w:space="0" w:color="auto"/>
              <w:left w:val="nil"/>
              <w:bottom w:val="nil"/>
              <w:right w:val="single" w:sz="4" w:space="0" w:color="auto"/>
            </w:tcBorders>
            <w:shd w:val="clear" w:color="000000" w:fill="DEEDCB"/>
            <w:noWrap/>
            <w:vAlign w:val="center"/>
            <w:hideMark/>
          </w:tcPr>
          <w:p w14:paraId="08BE6FF8"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38,027.00 </w:t>
            </w:r>
          </w:p>
        </w:tc>
        <w:tc>
          <w:tcPr>
            <w:tcW w:w="758" w:type="dxa"/>
            <w:tcBorders>
              <w:top w:val="single" w:sz="8" w:space="0" w:color="auto"/>
              <w:left w:val="nil"/>
              <w:bottom w:val="nil"/>
              <w:right w:val="single" w:sz="4" w:space="0" w:color="auto"/>
            </w:tcBorders>
            <w:shd w:val="clear" w:color="000000" w:fill="DEEDCB"/>
            <w:noWrap/>
            <w:vAlign w:val="center"/>
            <w:hideMark/>
          </w:tcPr>
          <w:p w14:paraId="0CDA364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71,047.00 </w:t>
            </w:r>
          </w:p>
        </w:tc>
        <w:tc>
          <w:tcPr>
            <w:tcW w:w="758" w:type="dxa"/>
            <w:tcBorders>
              <w:top w:val="single" w:sz="8" w:space="0" w:color="auto"/>
              <w:left w:val="nil"/>
              <w:bottom w:val="nil"/>
              <w:right w:val="single" w:sz="4" w:space="0" w:color="auto"/>
            </w:tcBorders>
            <w:shd w:val="clear" w:color="000000" w:fill="DEEDCB"/>
            <w:noWrap/>
            <w:vAlign w:val="center"/>
            <w:hideMark/>
          </w:tcPr>
          <w:p w14:paraId="2A6098E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54,537.00 </w:t>
            </w:r>
          </w:p>
        </w:tc>
        <w:tc>
          <w:tcPr>
            <w:tcW w:w="758" w:type="dxa"/>
            <w:tcBorders>
              <w:top w:val="single" w:sz="8" w:space="0" w:color="auto"/>
              <w:left w:val="nil"/>
              <w:bottom w:val="nil"/>
              <w:right w:val="single" w:sz="4" w:space="0" w:color="auto"/>
            </w:tcBorders>
            <w:shd w:val="clear" w:color="000000" w:fill="DEEDCB"/>
            <w:noWrap/>
            <w:vAlign w:val="center"/>
            <w:hideMark/>
          </w:tcPr>
          <w:p w14:paraId="56D5E932"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21,517.00 </w:t>
            </w:r>
          </w:p>
        </w:tc>
        <w:tc>
          <w:tcPr>
            <w:tcW w:w="980" w:type="dxa"/>
            <w:tcBorders>
              <w:top w:val="single" w:sz="8" w:space="0" w:color="auto"/>
              <w:left w:val="nil"/>
              <w:bottom w:val="nil"/>
              <w:right w:val="single" w:sz="4" w:space="0" w:color="auto"/>
            </w:tcBorders>
            <w:shd w:val="clear" w:color="000000" w:fill="DEEDCB"/>
            <w:noWrap/>
            <w:vAlign w:val="center"/>
            <w:hideMark/>
          </w:tcPr>
          <w:p w14:paraId="67600DDC"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185,128.00 </w:t>
            </w:r>
          </w:p>
        </w:tc>
        <w:tc>
          <w:tcPr>
            <w:tcW w:w="647" w:type="dxa"/>
            <w:tcBorders>
              <w:top w:val="single" w:sz="8" w:space="0" w:color="auto"/>
              <w:left w:val="nil"/>
              <w:bottom w:val="nil"/>
              <w:right w:val="single" w:sz="8" w:space="0" w:color="auto"/>
            </w:tcBorders>
            <w:shd w:val="clear" w:color="000000" w:fill="DEEDCB"/>
            <w:noWrap/>
            <w:vAlign w:val="center"/>
            <w:hideMark/>
          </w:tcPr>
          <w:p w14:paraId="6B00A3EF"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r>
      <w:tr w:rsidR="00086132" w:rsidRPr="00AC0422" w14:paraId="6D23C466" w14:textId="77777777" w:rsidTr="00086132">
        <w:trPr>
          <w:trHeight w:val="264"/>
        </w:trPr>
        <w:tc>
          <w:tcPr>
            <w:tcW w:w="1772" w:type="dxa"/>
            <w:tcBorders>
              <w:top w:val="single" w:sz="8" w:space="0" w:color="auto"/>
              <w:left w:val="single" w:sz="8" w:space="0" w:color="auto"/>
              <w:bottom w:val="nil"/>
              <w:right w:val="single" w:sz="4" w:space="0" w:color="auto"/>
            </w:tcBorders>
            <w:shd w:val="clear" w:color="000000" w:fill="DEEDCB"/>
            <w:vAlign w:val="center"/>
            <w:hideMark/>
          </w:tcPr>
          <w:p w14:paraId="529B723E"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lastRenderedPageBreak/>
              <w:t>Contingency</w:t>
            </w:r>
          </w:p>
        </w:tc>
        <w:tc>
          <w:tcPr>
            <w:tcW w:w="1456" w:type="dxa"/>
            <w:tcBorders>
              <w:top w:val="single" w:sz="8" w:space="0" w:color="auto"/>
              <w:left w:val="single" w:sz="8" w:space="0" w:color="auto"/>
              <w:bottom w:val="nil"/>
              <w:right w:val="single" w:sz="4" w:space="0" w:color="auto"/>
            </w:tcBorders>
            <w:shd w:val="clear" w:color="000000" w:fill="DEEDCB"/>
            <w:vAlign w:val="center"/>
            <w:hideMark/>
          </w:tcPr>
          <w:p w14:paraId="307A8D8A"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t>Contingency</w:t>
            </w:r>
          </w:p>
        </w:tc>
        <w:tc>
          <w:tcPr>
            <w:tcW w:w="1151" w:type="dxa"/>
            <w:tcBorders>
              <w:top w:val="single" w:sz="8" w:space="0" w:color="auto"/>
              <w:left w:val="nil"/>
              <w:bottom w:val="nil"/>
              <w:right w:val="single" w:sz="4" w:space="0" w:color="auto"/>
            </w:tcBorders>
            <w:shd w:val="clear" w:color="000000" w:fill="DEEDCB"/>
            <w:vAlign w:val="center"/>
            <w:hideMark/>
          </w:tcPr>
          <w:p w14:paraId="6894B8E1"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t>UNDP</w:t>
            </w:r>
          </w:p>
        </w:tc>
        <w:tc>
          <w:tcPr>
            <w:tcW w:w="1148" w:type="dxa"/>
            <w:tcBorders>
              <w:top w:val="single" w:sz="8" w:space="0" w:color="auto"/>
              <w:left w:val="nil"/>
              <w:bottom w:val="nil"/>
              <w:right w:val="single" w:sz="4" w:space="0" w:color="auto"/>
            </w:tcBorders>
            <w:shd w:val="clear" w:color="000000" w:fill="DEEDCB"/>
            <w:vAlign w:val="center"/>
            <w:hideMark/>
          </w:tcPr>
          <w:p w14:paraId="2C857019"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t>66001</w:t>
            </w:r>
          </w:p>
        </w:tc>
        <w:tc>
          <w:tcPr>
            <w:tcW w:w="1148" w:type="dxa"/>
            <w:tcBorders>
              <w:top w:val="single" w:sz="8" w:space="0" w:color="auto"/>
              <w:left w:val="nil"/>
              <w:bottom w:val="nil"/>
              <w:right w:val="single" w:sz="4" w:space="0" w:color="auto"/>
            </w:tcBorders>
            <w:shd w:val="clear" w:color="000000" w:fill="DEEDCB"/>
            <w:vAlign w:val="center"/>
            <w:hideMark/>
          </w:tcPr>
          <w:p w14:paraId="162A3930"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t>12526</w:t>
            </w:r>
          </w:p>
        </w:tc>
        <w:tc>
          <w:tcPr>
            <w:tcW w:w="1084" w:type="dxa"/>
            <w:tcBorders>
              <w:top w:val="single" w:sz="8" w:space="0" w:color="auto"/>
              <w:left w:val="nil"/>
              <w:bottom w:val="nil"/>
              <w:right w:val="single" w:sz="4" w:space="0" w:color="auto"/>
            </w:tcBorders>
            <w:shd w:val="clear" w:color="000000" w:fill="DEEDCB"/>
            <w:vAlign w:val="center"/>
            <w:hideMark/>
          </w:tcPr>
          <w:p w14:paraId="6CE0B290"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t>74500</w:t>
            </w:r>
          </w:p>
        </w:tc>
        <w:tc>
          <w:tcPr>
            <w:tcW w:w="1732" w:type="dxa"/>
            <w:tcBorders>
              <w:top w:val="single" w:sz="8" w:space="0" w:color="auto"/>
              <w:left w:val="nil"/>
              <w:bottom w:val="nil"/>
              <w:right w:val="single" w:sz="4" w:space="0" w:color="auto"/>
            </w:tcBorders>
            <w:shd w:val="clear" w:color="000000" w:fill="DEEDCB"/>
            <w:vAlign w:val="center"/>
            <w:hideMark/>
          </w:tcPr>
          <w:p w14:paraId="032F2D23"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Miscellaneous</w:t>
            </w:r>
          </w:p>
        </w:tc>
        <w:tc>
          <w:tcPr>
            <w:tcW w:w="758" w:type="dxa"/>
            <w:tcBorders>
              <w:top w:val="single" w:sz="8" w:space="0" w:color="auto"/>
              <w:left w:val="nil"/>
              <w:bottom w:val="nil"/>
              <w:right w:val="single" w:sz="4" w:space="0" w:color="auto"/>
            </w:tcBorders>
            <w:shd w:val="clear" w:color="000000" w:fill="DEEDCB"/>
            <w:noWrap/>
            <w:vAlign w:val="center"/>
            <w:hideMark/>
          </w:tcPr>
          <w:p w14:paraId="43E33DB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4,505.50 </w:t>
            </w:r>
          </w:p>
        </w:tc>
        <w:tc>
          <w:tcPr>
            <w:tcW w:w="758" w:type="dxa"/>
            <w:tcBorders>
              <w:top w:val="single" w:sz="8" w:space="0" w:color="auto"/>
              <w:left w:val="nil"/>
              <w:bottom w:val="nil"/>
              <w:right w:val="single" w:sz="4" w:space="0" w:color="auto"/>
            </w:tcBorders>
            <w:shd w:val="clear" w:color="000000" w:fill="DEEDCB"/>
            <w:noWrap/>
            <w:vAlign w:val="center"/>
            <w:hideMark/>
          </w:tcPr>
          <w:p w14:paraId="7FC2FFC0"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4,505.50 </w:t>
            </w:r>
          </w:p>
        </w:tc>
        <w:tc>
          <w:tcPr>
            <w:tcW w:w="758" w:type="dxa"/>
            <w:tcBorders>
              <w:top w:val="single" w:sz="8" w:space="0" w:color="auto"/>
              <w:left w:val="nil"/>
              <w:bottom w:val="nil"/>
              <w:right w:val="single" w:sz="4" w:space="0" w:color="auto"/>
            </w:tcBorders>
            <w:shd w:val="clear" w:color="000000" w:fill="DEEDCB"/>
            <w:noWrap/>
            <w:vAlign w:val="center"/>
            <w:hideMark/>
          </w:tcPr>
          <w:p w14:paraId="76DA6607"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4,505.50 </w:t>
            </w:r>
          </w:p>
        </w:tc>
        <w:tc>
          <w:tcPr>
            <w:tcW w:w="758" w:type="dxa"/>
            <w:tcBorders>
              <w:top w:val="single" w:sz="8" w:space="0" w:color="auto"/>
              <w:left w:val="nil"/>
              <w:bottom w:val="nil"/>
              <w:right w:val="single" w:sz="4" w:space="0" w:color="auto"/>
            </w:tcBorders>
            <w:shd w:val="clear" w:color="000000" w:fill="DEEDCB"/>
            <w:noWrap/>
            <w:vAlign w:val="center"/>
            <w:hideMark/>
          </w:tcPr>
          <w:p w14:paraId="33890F5B"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4,505.50 </w:t>
            </w:r>
          </w:p>
        </w:tc>
        <w:tc>
          <w:tcPr>
            <w:tcW w:w="980" w:type="dxa"/>
            <w:tcBorders>
              <w:top w:val="single" w:sz="8" w:space="0" w:color="auto"/>
              <w:left w:val="nil"/>
              <w:bottom w:val="nil"/>
              <w:right w:val="single" w:sz="4" w:space="0" w:color="auto"/>
            </w:tcBorders>
            <w:shd w:val="clear" w:color="000000" w:fill="DEEDCB"/>
            <w:noWrap/>
            <w:vAlign w:val="center"/>
            <w:hideMark/>
          </w:tcPr>
          <w:p w14:paraId="2C1EF6CB"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18,022.00 </w:t>
            </w:r>
          </w:p>
        </w:tc>
        <w:tc>
          <w:tcPr>
            <w:tcW w:w="647" w:type="dxa"/>
            <w:tcBorders>
              <w:top w:val="single" w:sz="8" w:space="0" w:color="auto"/>
              <w:left w:val="nil"/>
              <w:bottom w:val="nil"/>
              <w:right w:val="single" w:sz="8" w:space="0" w:color="auto"/>
            </w:tcBorders>
            <w:shd w:val="clear" w:color="000000" w:fill="DEEDCB"/>
            <w:noWrap/>
            <w:vAlign w:val="center"/>
            <w:hideMark/>
          </w:tcPr>
          <w:p w14:paraId="3AEE9054" w14:textId="77777777" w:rsidR="00086132" w:rsidRPr="00AC0422" w:rsidRDefault="00086132" w:rsidP="00086132">
            <w:pPr>
              <w:spacing w:after="0"/>
              <w:jc w:val="left"/>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w:t>
            </w:r>
          </w:p>
        </w:tc>
      </w:tr>
      <w:tr w:rsidR="00086132" w:rsidRPr="00AC0422" w14:paraId="0E4F6ADC" w14:textId="77777777" w:rsidTr="00086132">
        <w:trPr>
          <w:trHeight w:val="243"/>
        </w:trPr>
        <w:tc>
          <w:tcPr>
            <w:tcW w:w="7762" w:type="dxa"/>
            <w:gridSpan w:val="6"/>
            <w:tcBorders>
              <w:top w:val="single" w:sz="8" w:space="0" w:color="auto"/>
              <w:left w:val="single" w:sz="8" w:space="0" w:color="auto"/>
              <w:bottom w:val="single" w:sz="8" w:space="0" w:color="auto"/>
              <w:right w:val="single" w:sz="4" w:space="0" w:color="auto"/>
            </w:tcBorders>
            <w:shd w:val="clear" w:color="000000" w:fill="92D050"/>
            <w:vAlign w:val="center"/>
            <w:hideMark/>
          </w:tcPr>
          <w:p w14:paraId="10326DC0" w14:textId="77777777" w:rsidR="00086132" w:rsidRPr="00AC0422" w:rsidRDefault="00086132" w:rsidP="00086132">
            <w:pPr>
              <w:spacing w:after="0"/>
              <w:jc w:val="left"/>
              <w:rPr>
                <w:rFonts w:asciiTheme="minorHAnsi" w:eastAsia="Times New Roman" w:hAnsiTheme="minorHAnsi" w:cstheme="minorHAnsi"/>
                <w:b/>
                <w:bCs/>
                <w:i/>
                <w:iCs/>
                <w:color w:val="000000"/>
                <w:sz w:val="16"/>
                <w:szCs w:val="16"/>
                <w:lang w:val="en-CA"/>
              </w:rPr>
            </w:pPr>
            <w:r w:rsidRPr="00AC0422">
              <w:rPr>
                <w:rFonts w:asciiTheme="minorHAnsi" w:eastAsia="Times New Roman" w:hAnsiTheme="minorHAnsi" w:cstheme="minorHAnsi"/>
                <w:b/>
                <w:bCs/>
                <w:i/>
                <w:iCs/>
                <w:color w:val="000000"/>
                <w:sz w:val="16"/>
                <w:szCs w:val="16"/>
                <w:lang w:val="en-CA"/>
              </w:rPr>
              <w:t>Total Outcomes budget + PMC</w:t>
            </w:r>
          </w:p>
        </w:tc>
        <w:tc>
          <w:tcPr>
            <w:tcW w:w="1732" w:type="dxa"/>
            <w:tcBorders>
              <w:top w:val="single" w:sz="8" w:space="0" w:color="auto"/>
              <w:left w:val="nil"/>
              <w:bottom w:val="single" w:sz="8" w:space="0" w:color="auto"/>
              <w:right w:val="single" w:sz="4" w:space="0" w:color="auto"/>
            </w:tcBorders>
            <w:shd w:val="clear" w:color="000000" w:fill="92D050"/>
            <w:vAlign w:val="center"/>
            <w:hideMark/>
          </w:tcPr>
          <w:p w14:paraId="79A9196A" w14:textId="77777777" w:rsidR="00086132" w:rsidRPr="00AC0422" w:rsidRDefault="00086132" w:rsidP="00086132">
            <w:pPr>
              <w:spacing w:after="0"/>
              <w:jc w:val="left"/>
              <w:rPr>
                <w:rFonts w:asciiTheme="minorHAnsi" w:eastAsia="Times New Roman" w:hAnsiTheme="minorHAnsi" w:cstheme="minorHAnsi"/>
                <w:b/>
                <w:bCs/>
                <w:color w:val="000000"/>
                <w:sz w:val="16"/>
                <w:szCs w:val="16"/>
                <w:lang w:val="en-CA"/>
              </w:rPr>
            </w:pPr>
            <w:r w:rsidRPr="00AC0422">
              <w:rPr>
                <w:rFonts w:asciiTheme="minorHAnsi" w:eastAsia="Times New Roman" w:hAnsiTheme="minorHAnsi" w:cstheme="minorHAnsi"/>
                <w:b/>
                <w:bCs/>
                <w:color w:val="000000"/>
                <w:sz w:val="16"/>
                <w:szCs w:val="16"/>
                <w:lang w:val="en-CA"/>
              </w:rPr>
              <w:t> </w:t>
            </w:r>
          </w:p>
        </w:tc>
        <w:tc>
          <w:tcPr>
            <w:tcW w:w="758" w:type="dxa"/>
            <w:tcBorders>
              <w:top w:val="single" w:sz="8" w:space="0" w:color="auto"/>
              <w:left w:val="nil"/>
              <w:bottom w:val="single" w:sz="8" w:space="0" w:color="auto"/>
              <w:right w:val="single" w:sz="4" w:space="0" w:color="auto"/>
            </w:tcBorders>
            <w:shd w:val="clear" w:color="000000" w:fill="92D050"/>
            <w:noWrap/>
            <w:vAlign w:val="bottom"/>
            <w:hideMark/>
          </w:tcPr>
          <w:p w14:paraId="67410053"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807,882.50 </w:t>
            </w:r>
          </w:p>
        </w:tc>
        <w:tc>
          <w:tcPr>
            <w:tcW w:w="758" w:type="dxa"/>
            <w:tcBorders>
              <w:top w:val="single" w:sz="8" w:space="0" w:color="auto"/>
              <w:left w:val="nil"/>
              <w:bottom w:val="single" w:sz="8" w:space="0" w:color="auto"/>
              <w:right w:val="single" w:sz="4" w:space="0" w:color="auto"/>
            </w:tcBorders>
            <w:shd w:val="clear" w:color="000000" w:fill="92D050"/>
            <w:noWrap/>
            <w:vAlign w:val="bottom"/>
            <w:hideMark/>
          </w:tcPr>
          <w:p w14:paraId="43B663EB"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973,262.50 </w:t>
            </w:r>
          </w:p>
        </w:tc>
        <w:tc>
          <w:tcPr>
            <w:tcW w:w="758" w:type="dxa"/>
            <w:tcBorders>
              <w:top w:val="single" w:sz="8" w:space="0" w:color="auto"/>
              <w:left w:val="nil"/>
              <w:bottom w:val="single" w:sz="8" w:space="0" w:color="auto"/>
              <w:right w:val="single" w:sz="4" w:space="0" w:color="auto"/>
            </w:tcBorders>
            <w:shd w:val="clear" w:color="000000" w:fill="92D050"/>
            <w:noWrap/>
            <w:vAlign w:val="bottom"/>
            <w:hideMark/>
          </w:tcPr>
          <w:p w14:paraId="4723FA33"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613,242.50 </w:t>
            </w:r>
          </w:p>
        </w:tc>
        <w:tc>
          <w:tcPr>
            <w:tcW w:w="758" w:type="dxa"/>
            <w:tcBorders>
              <w:top w:val="single" w:sz="8" w:space="0" w:color="auto"/>
              <w:left w:val="nil"/>
              <w:bottom w:val="single" w:sz="8" w:space="0" w:color="auto"/>
              <w:right w:val="single" w:sz="4" w:space="0" w:color="auto"/>
            </w:tcBorders>
            <w:shd w:val="clear" w:color="000000" w:fill="92D050"/>
            <w:noWrap/>
            <w:vAlign w:val="bottom"/>
            <w:hideMark/>
          </w:tcPr>
          <w:p w14:paraId="4A424979"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278,412.50 </w:t>
            </w:r>
          </w:p>
        </w:tc>
        <w:tc>
          <w:tcPr>
            <w:tcW w:w="980" w:type="dxa"/>
            <w:tcBorders>
              <w:top w:val="single" w:sz="8" w:space="0" w:color="auto"/>
              <w:left w:val="nil"/>
              <w:bottom w:val="single" w:sz="8" w:space="0" w:color="auto"/>
              <w:right w:val="single" w:sz="4" w:space="0" w:color="auto"/>
            </w:tcBorders>
            <w:shd w:val="clear" w:color="000000" w:fill="92D050"/>
            <w:noWrap/>
            <w:vAlign w:val="bottom"/>
            <w:hideMark/>
          </w:tcPr>
          <w:p w14:paraId="6C0983B7"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xml:space="preserve">                  2,672,800.00 </w:t>
            </w:r>
          </w:p>
        </w:tc>
        <w:tc>
          <w:tcPr>
            <w:tcW w:w="647" w:type="dxa"/>
            <w:tcBorders>
              <w:top w:val="single" w:sz="8" w:space="0" w:color="auto"/>
              <w:left w:val="nil"/>
              <w:bottom w:val="single" w:sz="8" w:space="0" w:color="auto"/>
              <w:right w:val="single" w:sz="8" w:space="0" w:color="auto"/>
            </w:tcBorders>
            <w:shd w:val="clear" w:color="000000" w:fill="92D050"/>
            <w:noWrap/>
            <w:vAlign w:val="bottom"/>
            <w:hideMark/>
          </w:tcPr>
          <w:p w14:paraId="440EFEBD" w14:textId="77777777" w:rsidR="00086132" w:rsidRPr="00AC0422" w:rsidRDefault="00086132" w:rsidP="00086132">
            <w:pPr>
              <w:spacing w:after="0"/>
              <w:jc w:val="left"/>
              <w:rPr>
                <w:rFonts w:asciiTheme="minorHAnsi" w:eastAsia="Times New Roman" w:hAnsiTheme="minorHAnsi" w:cstheme="minorHAnsi"/>
                <w:color w:val="000000"/>
                <w:sz w:val="16"/>
                <w:szCs w:val="16"/>
                <w:lang w:val="en-CA"/>
              </w:rPr>
            </w:pPr>
            <w:r w:rsidRPr="00AC0422">
              <w:rPr>
                <w:rFonts w:asciiTheme="minorHAnsi" w:eastAsia="Times New Roman" w:hAnsiTheme="minorHAnsi" w:cstheme="minorHAnsi"/>
                <w:color w:val="000000"/>
                <w:sz w:val="16"/>
                <w:szCs w:val="16"/>
                <w:lang w:val="en-CA"/>
              </w:rPr>
              <w:t> </w:t>
            </w:r>
          </w:p>
        </w:tc>
      </w:tr>
    </w:tbl>
    <w:p w14:paraId="5A1CB977" w14:textId="77777777" w:rsidR="00D459CB" w:rsidRPr="00AC0422" w:rsidRDefault="00D459CB" w:rsidP="00470E9A">
      <w:pPr>
        <w:rPr>
          <w:rFonts w:asciiTheme="minorHAnsi" w:hAnsiTheme="minorHAnsi" w:cstheme="minorHAnsi"/>
          <w:b/>
          <w:sz w:val="18"/>
          <w:szCs w:val="18"/>
        </w:rPr>
      </w:pPr>
    </w:p>
    <w:p w14:paraId="3E8420C4" w14:textId="77777777" w:rsidR="00734E23" w:rsidRPr="00AC0422" w:rsidRDefault="00734E23" w:rsidP="00470E9A">
      <w:pPr>
        <w:spacing w:after="0"/>
        <w:jc w:val="left"/>
        <w:rPr>
          <w:rFonts w:asciiTheme="minorHAnsi" w:hAnsiTheme="minorHAnsi" w:cstheme="minorHAnsi"/>
          <w:szCs w:val="28"/>
        </w:rPr>
      </w:pPr>
    </w:p>
    <w:p w14:paraId="3B4A3846" w14:textId="77777777" w:rsidR="008B74FA" w:rsidRPr="00AC0422" w:rsidRDefault="008B74FA" w:rsidP="00470E9A">
      <w:pPr>
        <w:spacing w:after="0"/>
        <w:jc w:val="left"/>
        <w:rPr>
          <w:rFonts w:asciiTheme="minorHAnsi" w:hAnsiTheme="minorHAnsi" w:cstheme="minorHAnsi"/>
          <w:szCs w:val="28"/>
        </w:rPr>
      </w:pPr>
    </w:p>
    <w:p w14:paraId="09142783" w14:textId="77777777" w:rsidR="008B74FA" w:rsidRPr="00AC0422" w:rsidRDefault="008B74FA" w:rsidP="00470E9A">
      <w:pPr>
        <w:spacing w:after="0"/>
        <w:jc w:val="left"/>
        <w:rPr>
          <w:rFonts w:asciiTheme="minorHAnsi" w:hAnsiTheme="minorHAnsi" w:cstheme="minorHAnsi"/>
          <w:szCs w:val="28"/>
        </w:rPr>
      </w:pPr>
    </w:p>
    <w:p w14:paraId="5BAE0D7F" w14:textId="77777777" w:rsidR="008B74FA" w:rsidRPr="00AC0422" w:rsidRDefault="008B74FA" w:rsidP="00470E9A">
      <w:pPr>
        <w:spacing w:after="0"/>
        <w:jc w:val="left"/>
        <w:rPr>
          <w:rFonts w:asciiTheme="minorHAnsi" w:hAnsiTheme="minorHAnsi" w:cstheme="minorHAnsi"/>
          <w:szCs w:val="28"/>
        </w:rPr>
      </w:pPr>
    </w:p>
    <w:p w14:paraId="6DE9C40F" w14:textId="77777777" w:rsidR="008B74FA" w:rsidRPr="00AC0422" w:rsidRDefault="008B74FA" w:rsidP="008B74FA">
      <w:pPr>
        <w:spacing w:after="0"/>
        <w:jc w:val="left"/>
        <w:rPr>
          <w:rFonts w:asciiTheme="minorHAnsi" w:hAnsiTheme="minorHAnsi" w:cstheme="minorHAnsi"/>
          <w:b/>
          <w:szCs w:val="28"/>
        </w:rPr>
      </w:pPr>
      <w:r w:rsidRPr="00AC0422">
        <w:rPr>
          <w:rFonts w:asciiTheme="minorHAnsi" w:hAnsiTheme="minorHAnsi" w:cstheme="minorHAnsi"/>
          <w:b/>
          <w:szCs w:val="28"/>
        </w:rPr>
        <w:t>Budget Notes:</w:t>
      </w:r>
    </w:p>
    <w:p w14:paraId="39DF68C5" w14:textId="77777777" w:rsidR="008B74FA" w:rsidRPr="00AC0422" w:rsidRDefault="008B74FA" w:rsidP="00470E9A">
      <w:pPr>
        <w:spacing w:after="0"/>
        <w:jc w:val="left"/>
        <w:rPr>
          <w:rFonts w:asciiTheme="minorHAnsi" w:hAnsiTheme="minorHAnsi" w:cstheme="minorHAnsi"/>
          <w:szCs w:val="28"/>
        </w:rPr>
      </w:pPr>
    </w:p>
    <w:p w14:paraId="123B5AE1" w14:textId="77777777" w:rsidR="008B74FA" w:rsidRPr="00AC0422" w:rsidRDefault="008B74FA" w:rsidP="00470E9A">
      <w:pPr>
        <w:spacing w:after="0"/>
        <w:jc w:val="left"/>
        <w:rPr>
          <w:rFonts w:asciiTheme="minorHAnsi" w:hAnsiTheme="minorHAnsi" w:cstheme="minorHAnsi"/>
          <w:szCs w:val="28"/>
        </w:rPr>
      </w:pPr>
    </w:p>
    <w:tbl>
      <w:tblPr>
        <w:tblW w:w="13180" w:type="dxa"/>
        <w:tblLook w:val="04A0" w:firstRow="1" w:lastRow="0" w:firstColumn="1" w:lastColumn="0" w:noHBand="0" w:noVBand="1"/>
      </w:tblPr>
      <w:tblGrid>
        <w:gridCol w:w="1500"/>
        <w:gridCol w:w="11680"/>
      </w:tblGrid>
      <w:tr w:rsidR="00B11A7E" w:rsidRPr="00AC0422" w14:paraId="117D8FF6" w14:textId="77777777" w:rsidTr="00B11A7E">
        <w:trPr>
          <w:trHeight w:val="685"/>
        </w:trPr>
        <w:tc>
          <w:tcPr>
            <w:tcW w:w="1500" w:type="dxa"/>
            <w:tcBorders>
              <w:top w:val="single" w:sz="4" w:space="0" w:color="auto"/>
              <w:left w:val="single" w:sz="4" w:space="0" w:color="auto"/>
              <w:bottom w:val="single" w:sz="4" w:space="0" w:color="auto"/>
              <w:right w:val="single" w:sz="4" w:space="0" w:color="auto"/>
            </w:tcBorders>
            <w:shd w:val="clear" w:color="000000" w:fill="276E8B"/>
            <w:vAlign w:val="center"/>
            <w:hideMark/>
          </w:tcPr>
          <w:p w14:paraId="1F77FF08" w14:textId="77777777" w:rsidR="00B11A7E" w:rsidRPr="00AC0422" w:rsidRDefault="00B11A7E" w:rsidP="00B11A7E">
            <w:pPr>
              <w:spacing w:after="0"/>
              <w:jc w:val="center"/>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Budget Note</w:t>
            </w:r>
          </w:p>
        </w:tc>
        <w:tc>
          <w:tcPr>
            <w:tcW w:w="11680" w:type="dxa"/>
            <w:tcBorders>
              <w:top w:val="single" w:sz="4" w:space="0" w:color="auto"/>
              <w:left w:val="nil"/>
              <w:bottom w:val="single" w:sz="4" w:space="0" w:color="auto"/>
              <w:right w:val="single" w:sz="4" w:space="0" w:color="auto"/>
            </w:tcBorders>
            <w:shd w:val="clear" w:color="000000" w:fill="276E8B"/>
            <w:vAlign w:val="center"/>
            <w:hideMark/>
          </w:tcPr>
          <w:p w14:paraId="597FA8DA" w14:textId="77777777" w:rsidR="00B11A7E" w:rsidRPr="00AC0422" w:rsidRDefault="00B11A7E" w:rsidP="00B11A7E">
            <w:pPr>
              <w:spacing w:after="0"/>
              <w:jc w:val="center"/>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Detailed Description</w:t>
            </w:r>
          </w:p>
        </w:tc>
      </w:tr>
      <w:tr w:rsidR="00B11A7E" w:rsidRPr="00AC0422" w14:paraId="6EDB3CAE" w14:textId="77777777" w:rsidTr="00B11A7E">
        <w:trPr>
          <w:trHeight w:val="246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19087EE6"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w:t>
            </w:r>
          </w:p>
        </w:tc>
        <w:tc>
          <w:tcPr>
            <w:tcW w:w="11680" w:type="dxa"/>
            <w:tcBorders>
              <w:top w:val="nil"/>
              <w:left w:val="nil"/>
              <w:bottom w:val="single" w:sz="4" w:space="0" w:color="auto"/>
              <w:right w:val="single" w:sz="4" w:space="0" w:color="auto"/>
            </w:tcBorders>
            <w:shd w:val="clear" w:color="auto" w:fill="auto"/>
            <w:vAlign w:val="center"/>
            <w:hideMark/>
          </w:tcPr>
          <w:p w14:paraId="75F90FAC"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International Consultants @ $500 USD/day for a total of 337 days. Broken down as follows: </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Climate Adaptation Specialist (Team Lead) - 112days; </w:t>
            </w:r>
            <w:r w:rsidRPr="00AC0422">
              <w:rPr>
                <w:rFonts w:asciiTheme="minorHAnsi" w:eastAsia="Times New Roman" w:hAnsiTheme="minorHAnsi" w:cstheme="minorHAnsi"/>
                <w:color w:val="000000"/>
                <w:sz w:val="18"/>
                <w:szCs w:val="18"/>
                <w:lang w:val="en-CA"/>
              </w:rPr>
              <w:br/>
              <w:t xml:space="preserve">Climate Risk and Vulnerability Expert - 40 days; </w:t>
            </w:r>
            <w:r w:rsidRPr="00AC0422">
              <w:rPr>
                <w:rFonts w:asciiTheme="minorHAnsi" w:eastAsia="Times New Roman" w:hAnsiTheme="minorHAnsi" w:cstheme="minorHAnsi"/>
                <w:color w:val="000000"/>
                <w:sz w:val="18"/>
                <w:szCs w:val="18"/>
                <w:lang w:val="en-CA"/>
              </w:rPr>
              <w:br/>
              <w:t xml:space="preserve">Climate and Humanitarian Specialist - 40 days; </w:t>
            </w:r>
            <w:r w:rsidRPr="00AC0422">
              <w:rPr>
                <w:rFonts w:asciiTheme="minorHAnsi" w:eastAsia="Times New Roman" w:hAnsiTheme="minorHAnsi" w:cstheme="minorHAnsi"/>
                <w:color w:val="000000"/>
                <w:sz w:val="18"/>
                <w:szCs w:val="18"/>
                <w:lang w:val="en-CA"/>
              </w:rPr>
              <w:br/>
              <w:t xml:space="preserve">Disaster Risk Reduction Expert - 30days; </w:t>
            </w:r>
            <w:r w:rsidRPr="00AC0422">
              <w:rPr>
                <w:rFonts w:asciiTheme="minorHAnsi" w:eastAsia="Times New Roman" w:hAnsiTheme="minorHAnsi" w:cstheme="minorHAnsi"/>
                <w:color w:val="000000"/>
                <w:sz w:val="18"/>
                <w:szCs w:val="18"/>
                <w:lang w:val="en-CA"/>
              </w:rPr>
              <w:br/>
              <w:t xml:space="preserve">Gender and Social Inclusion Specialist (GESI Team Lead) - 40 days; </w:t>
            </w:r>
            <w:r w:rsidRPr="00AC0422">
              <w:rPr>
                <w:rFonts w:asciiTheme="minorHAnsi" w:eastAsia="Times New Roman" w:hAnsiTheme="minorHAnsi" w:cstheme="minorHAnsi"/>
                <w:color w:val="000000"/>
                <w:sz w:val="18"/>
                <w:szCs w:val="18"/>
                <w:lang w:val="en-CA"/>
              </w:rPr>
              <w:br/>
              <w:t>Environmental Expert - 25 days. Conflict analysis expert 50 days</w:t>
            </w:r>
            <w:r w:rsidRPr="00AC0422">
              <w:rPr>
                <w:rFonts w:asciiTheme="minorHAnsi" w:eastAsia="Times New Roman" w:hAnsiTheme="minorHAnsi" w:cstheme="minorHAnsi"/>
                <w:color w:val="000000"/>
                <w:sz w:val="18"/>
                <w:szCs w:val="18"/>
                <w:lang w:val="en-CA"/>
              </w:rPr>
              <w:br/>
              <w:t>Output 3.1.1</w:t>
            </w:r>
          </w:p>
        </w:tc>
      </w:tr>
      <w:tr w:rsidR="00B11A7E" w:rsidRPr="00AC0422" w14:paraId="03CCADFD" w14:textId="77777777" w:rsidTr="00B11A7E">
        <w:trPr>
          <w:trHeight w:val="266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6BB3E182"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B</w:t>
            </w:r>
          </w:p>
        </w:tc>
        <w:tc>
          <w:tcPr>
            <w:tcW w:w="11680" w:type="dxa"/>
            <w:tcBorders>
              <w:top w:val="nil"/>
              <w:left w:val="nil"/>
              <w:bottom w:val="single" w:sz="4" w:space="0" w:color="auto"/>
              <w:right w:val="single" w:sz="4" w:space="0" w:color="auto"/>
            </w:tcBorders>
            <w:shd w:val="clear" w:color="auto" w:fill="auto"/>
            <w:vAlign w:val="center"/>
            <w:hideMark/>
          </w:tcPr>
          <w:p w14:paraId="6EDF33A2"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Local Experts @ $200 USD/day for a total of 649 days. Broken down as follows: </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Sectoral Experts (Water, Agriculture, Coastal Zones, Health) - 240 days; </w:t>
            </w:r>
            <w:r w:rsidRPr="00AC0422">
              <w:rPr>
                <w:rFonts w:asciiTheme="minorHAnsi" w:eastAsia="Times New Roman" w:hAnsiTheme="minorHAnsi" w:cstheme="minorHAnsi"/>
                <w:color w:val="000000"/>
                <w:sz w:val="18"/>
                <w:szCs w:val="18"/>
                <w:lang w:val="en-CA"/>
              </w:rPr>
              <w:br/>
              <w:t xml:space="preserve">Policy and Governance Expert - 50 days; Data Analyst - 20 days; </w:t>
            </w:r>
            <w:r w:rsidRPr="00AC0422">
              <w:rPr>
                <w:rFonts w:asciiTheme="minorHAnsi" w:eastAsia="Times New Roman" w:hAnsiTheme="minorHAnsi" w:cstheme="minorHAnsi"/>
                <w:color w:val="000000"/>
                <w:sz w:val="18"/>
                <w:szCs w:val="18"/>
                <w:lang w:val="en-CA"/>
              </w:rPr>
              <w:br/>
              <w:t xml:space="preserve">Coordinator </w:t>
            </w:r>
            <w:proofErr w:type="spellStart"/>
            <w:r w:rsidRPr="00AC0422">
              <w:rPr>
                <w:rFonts w:asciiTheme="minorHAnsi" w:eastAsia="Times New Roman" w:hAnsiTheme="minorHAnsi" w:cstheme="minorHAnsi"/>
                <w:color w:val="000000"/>
                <w:sz w:val="18"/>
                <w:szCs w:val="18"/>
                <w:lang w:val="en-CA"/>
              </w:rPr>
              <w:t>Facilitor</w:t>
            </w:r>
            <w:proofErr w:type="spellEnd"/>
            <w:r w:rsidRPr="00AC0422">
              <w:rPr>
                <w:rFonts w:asciiTheme="minorHAnsi" w:eastAsia="Times New Roman" w:hAnsiTheme="minorHAnsi" w:cstheme="minorHAnsi"/>
                <w:color w:val="000000"/>
                <w:sz w:val="18"/>
                <w:szCs w:val="18"/>
                <w:lang w:val="en-CA"/>
              </w:rPr>
              <w:t xml:space="preserve"> - 27 days; </w:t>
            </w:r>
            <w:r w:rsidRPr="00AC0422">
              <w:rPr>
                <w:rFonts w:asciiTheme="minorHAnsi" w:eastAsia="Times New Roman" w:hAnsiTheme="minorHAnsi" w:cstheme="minorHAnsi"/>
                <w:color w:val="000000"/>
                <w:sz w:val="18"/>
                <w:szCs w:val="18"/>
                <w:lang w:val="en-CA"/>
              </w:rPr>
              <w:br/>
            </w:r>
            <w:proofErr w:type="spellStart"/>
            <w:r w:rsidRPr="00AC0422">
              <w:rPr>
                <w:rFonts w:asciiTheme="minorHAnsi" w:eastAsia="Times New Roman" w:hAnsiTheme="minorHAnsi" w:cstheme="minorHAnsi"/>
                <w:color w:val="000000"/>
                <w:sz w:val="18"/>
                <w:szCs w:val="18"/>
                <w:lang w:val="en-CA"/>
              </w:rPr>
              <w:t>Techncial</w:t>
            </w:r>
            <w:proofErr w:type="spellEnd"/>
            <w:r w:rsidRPr="00AC0422">
              <w:rPr>
                <w:rFonts w:asciiTheme="minorHAnsi" w:eastAsia="Times New Roman" w:hAnsiTheme="minorHAnsi" w:cstheme="minorHAnsi"/>
                <w:color w:val="000000"/>
                <w:sz w:val="18"/>
                <w:szCs w:val="18"/>
                <w:lang w:val="en-CA"/>
              </w:rPr>
              <w:t xml:space="preserve"> writer - 62 days; </w:t>
            </w:r>
            <w:r w:rsidRPr="00AC0422">
              <w:rPr>
                <w:rFonts w:asciiTheme="minorHAnsi" w:eastAsia="Times New Roman" w:hAnsiTheme="minorHAnsi" w:cstheme="minorHAnsi"/>
                <w:color w:val="000000"/>
                <w:sz w:val="18"/>
                <w:szCs w:val="18"/>
                <w:lang w:val="en-CA"/>
              </w:rPr>
              <w:br/>
              <w:t xml:space="preserve">Stakeholder Engagement Specialist - 55 days; </w:t>
            </w:r>
            <w:r w:rsidRPr="00AC0422">
              <w:rPr>
                <w:rFonts w:asciiTheme="minorHAnsi" w:eastAsia="Times New Roman" w:hAnsiTheme="minorHAnsi" w:cstheme="minorHAnsi"/>
                <w:color w:val="000000"/>
                <w:sz w:val="18"/>
                <w:szCs w:val="18"/>
                <w:lang w:val="en-CA"/>
              </w:rPr>
              <w:br/>
              <w:t xml:space="preserve">M&amp;E Specialist - 65 days; Gender Inclusion Specialist - 50 days; </w:t>
            </w:r>
            <w:r w:rsidRPr="00AC0422">
              <w:rPr>
                <w:rFonts w:asciiTheme="minorHAnsi" w:eastAsia="Times New Roman" w:hAnsiTheme="minorHAnsi" w:cstheme="minorHAnsi"/>
                <w:color w:val="000000"/>
                <w:sz w:val="18"/>
                <w:szCs w:val="18"/>
                <w:lang w:val="en-CA"/>
              </w:rPr>
              <w:br/>
              <w:t>Survey team - 80 days</w:t>
            </w:r>
            <w:r w:rsidRPr="00AC0422">
              <w:rPr>
                <w:rFonts w:asciiTheme="minorHAnsi" w:eastAsia="Times New Roman" w:hAnsiTheme="minorHAnsi" w:cstheme="minorHAnsi"/>
                <w:color w:val="000000"/>
                <w:sz w:val="18"/>
                <w:szCs w:val="18"/>
                <w:lang w:val="en-CA"/>
              </w:rPr>
              <w:br/>
              <w:t>Output 3.1.1</w:t>
            </w:r>
          </w:p>
        </w:tc>
      </w:tr>
      <w:tr w:rsidR="00B11A7E" w:rsidRPr="00AC0422" w14:paraId="526284FB" w14:textId="77777777" w:rsidTr="00B11A7E">
        <w:trPr>
          <w:trHeight w:val="9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5E3B782F"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C</w:t>
            </w:r>
          </w:p>
        </w:tc>
        <w:tc>
          <w:tcPr>
            <w:tcW w:w="11680" w:type="dxa"/>
            <w:tcBorders>
              <w:top w:val="nil"/>
              <w:left w:val="nil"/>
              <w:bottom w:val="single" w:sz="4" w:space="0" w:color="auto"/>
              <w:right w:val="single" w:sz="4" w:space="0" w:color="auto"/>
            </w:tcBorders>
            <w:shd w:val="clear" w:color="auto" w:fill="auto"/>
            <w:vAlign w:val="center"/>
            <w:hideMark/>
          </w:tcPr>
          <w:p w14:paraId="2A7E8289"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5 Meetings of the Technical Climate Coordination Committee (TCCC) and NTC's to develop the sectoral and national NAPS - 5 meetings </w:t>
            </w:r>
            <w:r w:rsidRPr="00AC0422">
              <w:rPr>
                <w:rFonts w:asciiTheme="minorHAnsi" w:eastAsia="Times New Roman" w:hAnsiTheme="minorHAnsi" w:cstheme="minorHAnsi"/>
                <w:color w:val="000000" w:themeColor="text1"/>
                <w:sz w:val="18"/>
                <w:szCs w:val="18"/>
                <w:lang w:val="en-CA"/>
              </w:rPr>
              <w:t xml:space="preserve">@$2000/meeting, including the cost of venue and catering for 50 participants e.g. </w:t>
            </w:r>
            <w:proofErr w:type="spellStart"/>
            <w:r w:rsidRPr="00AC0422">
              <w:rPr>
                <w:rFonts w:asciiTheme="minorHAnsi" w:eastAsia="Times New Roman" w:hAnsiTheme="minorHAnsi" w:cstheme="minorHAnsi"/>
                <w:color w:val="000000" w:themeColor="text1"/>
                <w:sz w:val="18"/>
                <w:szCs w:val="18"/>
                <w:lang w:val="en-CA"/>
              </w:rPr>
              <w:t>Ministeries</w:t>
            </w:r>
            <w:proofErr w:type="spellEnd"/>
            <w:r w:rsidRPr="00AC0422">
              <w:rPr>
                <w:rFonts w:asciiTheme="minorHAnsi" w:eastAsia="Times New Roman" w:hAnsiTheme="minorHAnsi" w:cstheme="minorHAnsi"/>
                <w:color w:val="000000" w:themeColor="text1"/>
                <w:sz w:val="18"/>
                <w:szCs w:val="18"/>
                <w:lang w:val="en-CA"/>
              </w:rPr>
              <w:t>, CSO, Community leaders etc. Output 3.1.1/ Activity 3.1.3.1a</w:t>
            </w:r>
          </w:p>
        </w:tc>
      </w:tr>
      <w:tr w:rsidR="00B11A7E" w:rsidRPr="00AC0422" w14:paraId="2939886A" w14:textId="77777777" w:rsidTr="00B11A7E">
        <w:trPr>
          <w:trHeight w:val="6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28946867"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lastRenderedPageBreak/>
              <w:t>D</w:t>
            </w:r>
          </w:p>
        </w:tc>
        <w:tc>
          <w:tcPr>
            <w:tcW w:w="11680" w:type="dxa"/>
            <w:tcBorders>
              <w:top w:val="nil"/>
              <w:left w:val="nil"/>
              <w:bottom w:val="single" w:sz="8" w:space="0" w:color="auto"/>
              <w:right w:val="single" w:sz="8" w:space="0" w:color="auto"/>
            </w:tcBorders>
            <w:shd w:val="clear" w:color="auto" w:fill="auto"/>
            <w:vAlign w:val="center"/>
            <w:hideMark/>
          </w:tcPr>
          <w:p w14:paraId="6075FB60"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Travel – Local - Trips related to consultations and meetings - 15 @ 250 per trip, </w:t>
            </w:r>
            <w:proofErr w:type="spellStart"/>
            <w:r w:rsidRPr="00AC0422">
              <w:rPr>
                <w:rFonts w:asciiTheme="minorHAnsi" w:eastAsia="Times New Roman" w:hAnsiTheme="minorHAnsi" w:cstheme="minorHAnsi"/>
                <w:color w:val="000000"/>
                <w:sz w:val="18"/>
                <w:szCs w:val="18"/>
                <w:lang w:val="en-CA"/>
              </w:rPr>
              <w:t>E.g</w:t>
            </w:r>
            <w:proofErr w:type="spellEnd"/>
            <w:r w:rsidRPr="00AC0422">
              <w:rPr>
                <w:rFonts w:asciiTheme="minorHAnsi" w:eastAsia="Times New Roman" w:hAnsiTheme="minorHAnsi" w:cstheme="minorHAnsi"/>
                <w:color w:val="000000"/>
                <w:sz w:val="18"/>
                <w:szCs w:val="18"/>
                <w:lang w:val="en-CA"/>
              </w:rPr>
              <w:t xml:space="preserve"> Transportation, ticket cost, DSA </w:t>
            </w:r>
            <w:proofErr w:type="spellStart"/>
            <w:r w:rsidRPr="00AC0422">
              <w:rPr>
                <w:rFonts w:asciiTheme="minorHAnsi" w:eastAsia="Times New Roman" w:hAnsiTheme="minorHAnsi" w:cstheme="minorHAnsi"/>
                <w:color w:val="000000"/>
                <w:sz w:val="18"/>
                <w:szCs w:val="18"/>
                <w:lang w:val="en-CA"/>
              </w:rPr>
              <w:t>etc</w:t>
            </w:r>
            <w:proofErr w:type="spellEnd"/>
            <w:r w:rsidRPr="00AC0422">
              <w:rPr>
                <w:rFonts w:asciiTheme="minorHAnsi" w:eastAsia="Times New Roman" w:hAnsiTheme="minorHAnsi" w:cstheme="minorHAnsi"/>
                <w:color w:val="000000"/>
                <w:sz w:val="18"/>
                <w:szCs w:val="18"/>
                <w:lang w:val="en-CA"/>
              </w:rPr>
              <w:t xml:space="preserve"> </w:t>
            </w:r>
            <w:r w:rsidRPr="00AC0422">
              <w:rPr>
                <w:rFonts w:asciiTheme="minorHAnsi" w:eastAsia="Times New Roman" w:hAnsiTheme="minorHAnsi" w:cstheme="minorHAnsi"/>
                <w:b/>
                <w:bCs/>
                <w:i/>
                <w:iCs/>
                <w:color w:val="000000"/>
                <w:szCs w:val="20"/>
                <w:lang w:val="en-CA"/>
              </w:rPr>
              <w:t>Output 3.1.1</w:t>
            </w:r>
            <w:r w:rsidRPr="00AC0422">
              <w:rPr>
                <w:rFonts w:asciiTheme="minorHAnsi" w:eastAsia="Times New Roman" w:hAnsiTheme="minorHAnsi" w:cstheme="minorHAnsi"/>
                <w:color w:val="000000"/>
                <w:sz w:val="18"/>
                <w:szCs w:val="18"/>
                <w:lang w:val="en-CA"/>
              </w:rPr>
              <w:t xml:space="preserve"> Activity 3.1.1.1b/c/d</w:t>
            </w:r>
          </w:p>
        </w:tc>
      </w:tr>
      <w:tr w:rsidR="00B11A7E" w:rsidRPr="00AC0422" w14:paraId="4B744BD5" w14:textId="77777777" w:rsidTr="00B11A7E">
        <w:trPr>
          <w:trHeight w:val="66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1F330B9F"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E</w:t>
            </w:r>
          </w:p>
        </w:tc>
        <w:tc>
          <w:tcPr>
            <w:tcW w:w="11680" w:type="dxa"/>
            <w:tcBorders>
              <w:top w:val="nil"/>
              <w:left w:val="nil"/>
              <w:bottom w:val="single" w:sz="8" w:space="0" w:color="auto"/>
              <w:right w:val="single" w:sz="8" w:space="0" w:color="auto"/>
            </w:tcBorders>
            <w:shd w:val="clear" w:color="auto" w:fill="auto"/>
            <w:vAlign w:val="center"/>
            <w:hideMark/>
          </w:tcPr>
          <w:p w14:paraId="0451A6AF"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Travel - International - International experts' missions - 8 @ 2,000 per trip, </w:t>
            </w:r>
            <w:proofErr w:type="spellStart"/>
            <w:r w:rsidRPr="00AC0422">
              <w:rPr>
                <w:rFonts w:asciiTheme="minorHAnsi" w:eastAsia="Times New Roman" w:hAnsiTheme="minorHAnsi" w:cstheme="minorHAnsi"/>
                <w:color w:val="000000"/>
                <w:sz w:val="18"/>
                <w:szCs w:val="18"/>
                <w:lang w:val="en-CA"/>
              </w:rPr>
              <w:t>E.g</w:t>
            </w:r>
            <w:proofErr w:type="spellEnd"/>
            <w:r w:rsidRPr="00AC0422">
              <w:rPr>
                <w:rFonts w:asciiTheme="minorHAnsi" w:eastAsia="Times New Roman" w:hAnsiTheme="minorHAnsi" w:cstheme="minorHAnsi"/>
                <w:color w:val="000000"/>
                <w:sz w:val="18"/>
                <w:szCs w:val="18"/>
                <w:lang w:val="en-CA"/>
              </w:rPr>
              <w:t xml:space="preserve"> Transportation, ticket cost, DSA </w:t>
            </w:r>
            <w:proofErr w:type="spellStart"/>
            <w:r w:rsidRPr="00AC0422">
              <w:rPr>
                <w:rFonts w:asciiTheme="minorHAnsi" w:eastAsia="Times New Roman" w:hAnsiTheme="minorHAnsi" w:cstheme="minorHAnsi"/>
                <w:color w:val="000000"/>
                <w:sz w:val="18"/>
                <w:szCs w:val="18"/>
                <w:lang w:val="en-CA"/>
              </w:rPr>
              <w:t>etc</w:t>
            </w:r>
            <w:proofErr w:type="spellEnd"/>
            <w:r w:rsidRPr="00AC0422">
              <w:rPr>
                <w:rFonts w:asciiTheme="minorHAnsi" w:eastAsia="Times New Roman" w:hAnsiTheme="minorHAnsi" w:cstheme="minorHAnsi"/>
                <w:color w:val="000000"/>
                <w:sz w:val="18"/>
                <w:szCs w:val="18"/>
                <w:lang w:val="en-CA"/>
              </w:rPr>
              <w:t xml:space="preserve"> </w:t>
            </w:r>
            <w:r w:rsidRPr="00AC0422">
              <w:rPr>
                <w:rFonts w:asciiTheme="minorHAnsi" w:eastAsia="Times New Roman" w:hAnsiTheme="minorHAnsi" w:cstheme="minorHAnsi"/>
                <w:b/>
                <w:bCs/>
                <w:i/>
                <w:iCs/>
                <w:color w:val="000000"/>
                <w:szCs w:val="20"/>
                <w:lang w:val="en-CA"/>
              </w:rPr>
              <w:t>Output 3.1.1</w:t>
            </w:r>
            <w:r w:rsidRPr="00AC0422">
              <w:rPr>
                <w:rFonts w:asciiTheme="minorHAnsi" w:eastAsia="Times New Roman" w:hAnsiTheme="minorHAnsi" w:cstheme="minorHAnsi"/>
                <w:color w:val="000000"/>
                <w:sz w:val="18"/>
                <w:szCs w:val="18"/>
                <w:lang w:val="en-CA"/>
              </w:rPr>
              <w:t xml:space="preserve"> Activity 3.1.1.1b/c/d</w:t>
            </w:r>
          </w:p>
        </w:tc>
      </w:tr>
      <w:tr w:rsidR="00B11A7E" w:rsidRPr="00AC0422" w14:paraId="4811B846" w14:textId="77777777" w:rsidTr="00B11A7E">
        <w:trPr>
          <w:trHeight w:val="6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478E166D"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F</w:t>
            </w:r>
          </w:p>
        </w:tc>
        <w:tc>
          <w:tcPr>
            <w:tcW w:w="11680" w:type="dxa"/>
            <w:tcBorders>
              <w:top w:val="nil"/>
              <w:left w:val="nil"/>
              <w:bottom w:val="single" w:sz="8" w:space="0" w:color="auto"/>
              <w:right w:val="single" w:sz="8" w:space="0" w:color="auto"/>
            </w:tcBorders>
            <w:shd w:val="clear" w:color="auto" w:fill="auto"/>
            <w:vAlign w:val="center"/>
            <w:hideMark/>
          </w:tcPr>
          <w:p w14:paraId="30FF2A97"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Professional Services Firm to conduct 4 GESI surveys to support development of guidance document at the cost of USD 2,500/survey totalling USD 10,000 </w:t>
            </w:r>
            <w:r w:rsidRPr="00AC0422">
              <w:rPr>
                <w:rFonts w:asciiTheme="minorHAnsi" w:eastAsia="Times New Roman" w:hAnsiTheme="minorHAnsi" w:cstheme="minorHAnsi"/>
                <w:b/>
                <w:bCs/>
                <w:i/>
                <w:iCs/>
                <w:color w:val="000000"/>
                <w:szCs w:val="20"/>
                <w:lang w:val="en-CA"/>
              </w:rPr>
              <w:t>Output 3.1.1</w:t>
            </w:r>
          </w:p>
        </w:tc>
      </w:tr>
      <w:tr w:rsidR="00B11A7E" w:rsidRPr="00AC0422" w14:paraId="36107F1D" w14:textId="77777777" w:rsidTr="00B11A7E">
        <w:trPr>
          <w:trHeight w:val="80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6AD731F7"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G</w:t>
            </w:r>
          </w:p>
        </w:tc>
        <w:tc>
          <w:tcPr>
            <w:tcW w:w="11680" w:type="dxa"/>
            <w:tcBorders>
              <w:top w:val="nil"/>
              <w:left w:val="nil"/>
              <w:bottom w:val="single" w:sz="8" w:space="0" w:color="auto"/>
              <w:right w:val="single" w:sz="8" w:space="0" w:color="auto"/>
            </w:tcBorders>
            <w:shd w:val="clear" w:color="auto" w:fill="auto"/>
            <w:vAlign w:val="center"/>
            <w:hideMark/>
          </w:tcPr>
          <w:p w14:paraId="5CA4B715"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NAP Launch Workshop at the cost of USD 5,000 under Activity 3.1.3.1a. The budget includes the cost of venue and catering for 100 number of participants (</w:t>
            </w:r>
            <w:proofErr w:type="spellStart"/>
            <w:r w:rsidRPr="00AC0422">
              <w:rPr>
                <w:rFonts w:asciiTheme="minorHAnsi" w:eastAsia="Times New Roman" w:hAnsiTheme="minorHAnsi" w:cstheme="minorHAnsi"/>
                <w:color w:val="000000"/>
                <w:sz w:val="18"/>
                <w:szCs w:val="18"/>
                <w:lang w:val="en-CA"/>
              </w:rPr>
              <w:t>Ministeries</w:t>
            </w:r>
            <w:proofErr w:type="spellEnd"/>
            <w:r w:rsidRPr="00AC0422">
              <w:rPr>
                <w:rFonts w:asciiTheme="minorHAnsi" w:eastAsia="Times New Roman" w:hAnsiTheme="minorHAnsi" w:cstheme="minorHAnsi"/>
                <w:color w:val="000000"/>
                <w:sz w:val="18"/>
                <w:szCs w:val="18"/>
                <w:lang w:val="en-CA"/>
              </w:rPr>
              <w:t xml:space="preserve">, CSO, Community leaders </w:t>
            </w:r>
            <w:proofErr w:type="spellStart"/>
            <w:r w:rsidRPr="00AC0422">
              <w:rPr>
                <w:rFonts w:asciiTheme="minorHAnsi" w:eastAsia="Times New Roman" w:hAnsiTheme="minorHAnsi" w:cstheme="minorHAnsi"/>
                <w:color w:val="000000"/>
                <w:sz w:val="18"/>
                <w:szCs w:val="18"/>
                <w:lang w:val="en-CA"/>
              </w:rPr>
              <w:t>etc</w:t>
            </w:r>
            <w:proofErr w:type="spellEnd"/>
            <w:r w:rsidRPr="00AC0422">
              <w:rPr>
                <w:rFonts w:asciiTheme="minorHAnsi" w:eastAsia="Times New Roman" w:hAnsiTheme="minorHAnsi" w:cstheme="minorHAnsi"/>
                <w:color w:val="000000"/>
                <w:sz w:val="18"/>
                <w:szCs w:val="18"/>
                <w:lang w:val="en-CA"/>
              </w:rPr>
              <w:t xml:space="preserve">) </w:t>
            </w:r>
            <w:r w:rsidRPr="00AC0422">
              <w:rPr>
                <w:rFonts w:asciiTheme="minorHAnsi" w:eastAsia="Times New Roman" w:hAnsiTheme="minorHAnsi" w:cstheme="minorHAnsi"/>
                <w:b/>
                <w:bCs/>
                <w:i/>
                <w:iCs/>
                <w:color w:val="000000"/>
                <w:szCs w:val="20"/>
                <w:lang w:val="en-CA"/>
              </w:rPr>
              <w:t>Output 3.1.1</w:t>
            </w:r>
          </w:p>
        </w:tc>
      </w:tr>
      <w:tr w:rsidR="00B11A7E" w:rsidRPr="00AC0422" w14:paraId="2190CC85" w14:textId="77777777" w:rsidTr="00B11A7E">
        <w:trPr>
          <w:trHeight w:val="12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31E95740"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H</w:t>
            </w:r>
          </w:p>
        </w:tc>
        <w:tc>
          <w:tcPr>
            <w:tcW w:w="11680" w:type="dxa"/>
            <w:tcBorders>
              <w:top w:val="single" w:sz="4" w:space="0" w:color="auto"/>
              <w:left w:val="nil"/>
              <w:bottom w:val="single" w:sz="4" w:space="0" w:color="auto"/>
              <w:right w:val="single" w:sz="4" w:space="0" w:color="auto"/>
            </w:tcBorders>
            <w:shd w:val="clear" w:color="auto" w:fill="auto"/>
            <w:vAlign w:val="center"/>
            <w:hideMark/>
          </w:tcPr>
          <w:p w14:paraId="5FC4F250"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International Consultants @ $500 USD/day: </w:t>
            </w:r>
            <w:r w:rsidRPr="00AC0422">
              <w:rPr>
                <w:rFonts w:asciiTheme="minorHAnsi" w:eastAsia="Times New Roman" w:hAnsiTheme="minorHAnsi" w:cstheme="minorHAnsi"/>
                <w:color w:val="000000"/>
                <w:sz w:val="18"/>
                <w:szCs w:val="18"/>
                <w:lang w:val="en-CA"/>
              </w:rPr>
              <w:br/>
              <w:t xml:space="preserve">Climate Adaptation Specialist (Team Lead) - 40 days; </w:t>
            </w:r>
            <w:r w:rsidRPr="00AC0422">
              <w:rPr>
                <w:rFonts w:asciiTheme="minorHAnsi" w:eastAsia="Times New Roman" w:hAnsiTheme="minorHAnsi" w:cstheme="minorHAnsi"/>
                <w:color w:val="000000"/>
                <w:sz w:val="18"/>
                <w:szCs w:val="18"/>
                <w:lang w:val="en-CA"/>
              </w:rPr>
              <w:br/>
              <w:t xml:space="preserve">Climate and Humanitarian Specialist - 30 days </w:t>
            </w:r>
            <w:r w:rsidRPr="00AC0422">
              <w:rPr>
                <w:rFonts w:asciiTheme="minorHAnsi" w:eastAsia="Times New Roman" w:hAnsiTheme="minorHAnsi" w:cstheme="minorHAnsi"/>
                <w:color w:val="000000"/>
                <w:sz w:val="18"/>
                <w:szCs w:val="18"/>
                <w:lang w:val="en-CA"/>
              </w:rPr>
              <w:br/>
              <w:t>Output 3.1.3</w:t>
            </w:r>
          </w:p>
        </w:tc>
      </w:tr>
      <w:tr w:rsidR="00B11A7E" w:rsidRPr="00AC0422" w14:paraId="664F078A" w14:textId="77777777" w:rsidTr="00B11A7E">
        <w:trPr>
          <w:trHeight w:val="29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4B02BB8B"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I</w:t>
            </w:r>
          </w:p>
        </w:tc>
        <w:tc>
          <w:tcPr>
            <w:tcW w:w="11680" w:type="dxa"/>
            <w:tcBorders>
              <w:top w:val="nil"/>
              <w:left w:val="nil"/>
              <w:bottom w:val="single" w:sz="4" w:space="0" w:color="auto"/>
              <w:right w:val="single" w:sz="4" w:space="0" w:color="auto"/>
            </w:tcBorders>
            <w:shd w:val="clear" w:color="auto" w:fill="auto"/>
            <w:vAlign w:val="center"/>
            <w:hideMark/>
          </w:tcPr>
          <w:p w14:paraId="42E1AA4C"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Local Experts @ $200 USD/day for a total of 569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Climate Adaptation Specialist - 50 days; </w:t>
            </w:r>
            <w:r w:rsidRPr="00AC0422">
              <w:rPr>
                <w:rFonts w:asciiTheme="minorHAnsi" w:eastAsia="Times New Roman" w:hAnsiTheme="minorHAnsi" w:cstheme="minorHAnsi"/>
                <w:color w:val="000000"/>
                <w:sz w:val="18"/>
                <w:szCs w:val="18"/>
                <w:lang w:val="en-CA"/>
              </w:rPr>
              <w:br/>
              <w:t xml:space="preserve">Policy and Governance Expert - 65 days; </w:t>
            </w:r>
            <w:r w:rsidRPr="00AC0422">
              <w:rPr>
                <w:rFonts w:asciiTheme="minorHAnsi" w:eastAsia="Times New Roman" w:hAnsiTheme="minorHAnsi" w:cstheme="minorHAnsi"/>
                <w:color w:val="000000"/>
                <w:sz w:val="18"/>
                <w:szCs w:val="18"/>
                <w:lang w:val="en-CA"/>
              </w:rPr>
              <w:br/>
              <w:t xml:space="preserve">Stakeholder Engagement Specialist - 70 days; </w:t>
            </w:r>
            <w:r w:rsidRPr="00AC0422">
              <w:rPr>
                <w:rFonts w:asciiTheme="minorHAnsi" w:eastAsia="Times New Roman" w:hAnsiTheme="minorHAnsi" w:cstheme="minorHAnsi"/>
                <w:color w:val="000000"/>
                <w:sz w:val="18"/>
                <w:szCs w:val="18"/>
                <w:lang w:val="en-CA"/>
              </w:rPr>
              <w:br/>
              <w:t xml:space="preserve">Communication Specialist - 40 days; </w:t>
            </w:r>
            <w:r w:rsidRPr="00AC0422">
              <w:rPr>
                <w:rFonts w:asciiTheme="minorHAnsi" w:eastAsia="Times New Roman" w:hAnsiTheme="minorHAnsi" w:cstheme="minorHAnsi"/>
                <w:color w:val="000000"/>
                <w:sz w:val="18"/>
                <w:szCs w:val="18"/>
                <w:lang w:val="en-CA"/>
              </w:rPr>
              <w:br/>
              <w:t>Graphic Designer - 30 days;</w:t>
            </w:r>
            <w:r w:rsidRPr="00AC0422">
              <w:rPr>
                <w:rFonts w:asciiTheme="minorHAnsi" w:eastAsia="Times New Roman" w:hAnsiTheme="minorHAnsi" w:cstheme="minorHAnsi"/>
                <w:color w:val="000000"/>
                <w:sz w:val="18"/>
                <w:szCs w:val="18"/>
                <w:lang w:val="en-CA"/>
              </w:rPr>
              <w:br/>
              <w:t>Facilitator - 49 days;</w:t>
            </w:r>
            <w:r w:rsidRPr="00AC0422">
              <w:rPr>
                <w:rFonts w:asciiTheme="minorHAnsi" w:eastAsia="Times New Roman" w:hAnsiTheme="minorHAnsi" w:cstheme="minorHAnsi"/>
                <w:color w:val="000000"/>
                <w:sz w:val="18"/>
                <w:szCs w:val="18"/>
                <w:lang w:val="en-CA"/>
              </w:rPr>
              <w:br/>
              <w:t xml:space="preserve">Training Coordinator - 45 days; </w:t>
            </w:r>
            <w:r w:rsidRPr="00AC0422">
              <w:rPr>
                <w:rFonts w:asciiTheme="minorHAnsi" w:eastAsia="Times New Roman" w:hAnsiTheme="minorHAnsi" w:cstheme="minorHAnsi"/>
                <w:color w:val="000000"/>
                <w:sz w:val="18"/>
                <w:szCs w:val="18"/>
                <w:lang w:val="en-CA"/>
              </w:rPr>
              <w:br/>
              <w:t xml:space="preserve">Sectoral Experts - 200 days; </w:t>
            </w:r>
            <w:r w:rsidRPr="00AC0422">
              <w:rPr>
                <w:rFonts w:asciiTheme="minorHAnsi" w:eastAsia="Times New Roman" w:hAnsiTheme="minorHAnsi" w:cstheme="minorHAnsi"/>
                <w:color w:val="000000"/>
                <w:sz w:val="18"/>
                <w:szCs w:val="18"/>
                <w:lang w:val="en-CA"/>
              </w:rPr>
              <w:br/>
              <w:t>Monitoring and Evaluation (M&amp;E) Specialist - 20 days</w:t>
            </w:r>
            <w:r w:rsidRPr="00AC0422">
              <w:rPr>
                <w:rFonts w:asciiTheme="minorHAnsi" w:eastAsia="Times New Roman" w:hAnsiTheme="minorHAnsi" w:cstheme="minorHAnsi"/>
                <w:color w:val="000000"/>
                <w:sz w:val="18"/>
                <w:szCs w:val="18"/>
                <w:lang w:val="en-CA"/>
              </w:rPr>
              <w:br/>
              <w:t>Output 3.1.3</w:t>
            </w:r>
          </w:p>
        </w:tc>
      </w:tr>
      <w:tr w:rsidR="00B11A7E" w:rsidRPr="00AC0422" w14:paraId="6144E6BF" w14:textId="77777777" w:rsidTr="00B11A7E">
        <w:trPr>
          <w:trHeight w:val="10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00E1227C"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J</w:t>
            </w:r>
          </w:p>
        </w:tc>
        <w:tc>
          <w:tcPr>
            <w:tcW w:w="11680" w:type="dxa"/>
            <w:tcBorders>
              <w:top w:val="nil"/>
              <w:left w:val="nil"/>
              <w:bottom w:val="single" w:sz="8" w:space="0" w:color="auto"/>
              <w:right w:val="single" w:sz="8" w:space="0" w:color="auto"/>
            </w:tcBorders>
            <w:shd w:val="clear" w:color="auto" w:fill="auto"/>
            <w:vAlign w:val="center"/>
            <w:hideMark/>
          </w:tcPr>
          <w:p w14:paraId="57F4B15B"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Training workshops to strengthen the technical capacity of TCCC and NTCs. There will be 2 workshops(one day each), with each costing $5,000 including the cost of venue and catering, totalling $10,000 Output 3.1.3 Activity 3.1.3.1e</w:t>
            </w:r>
          </w:p>
        </w:tc>
      </w:tr>
      <w:tr w:rsidR="00B11A7E" w:rsidRPr="00AC0422" w14:paraId="08ACC46F" w14:textId="77777777" w:rsidTr="00B11A7E">
        <w:trPr>
          <w:trHeight w:val="5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2B5507E7"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K</w:t>
            </w:r>
          </w:p>
        </w:tc>
        <w:tc>
          <w:tcPr>
            <w:tcW w:w="11680" w:type="dxa"/>
            <w:tcBorders>
              <w:top w:val="nil"/>
              <w:left w:val="nil"/>
              <w:bottom w:val="single" w:sz="8" w:space="0" w:color="auto"/>
              <w:right w:val="single" w:sz="8" w:space="0" w:color="auto"/>
            </w:tcBorders>
            <w:shd w:val="clear" w:color="auto" w:fill="auto"/>
            <w:vAlign w:val="center"/>
            <w:hideMark/>
          </w:tcPr>
          <w:p w14:paraId="781CEC93"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Audio Visual &amp; Printing to support Training sessions and meetings. 2 packages of audio visual and printing at $4,000 each. </w:t>
            </w:r>
            <w:r w:rsidRPr="00AC0422">
              <w:rPr>
                <w:rFonts w:asciiTheme="minorHAnsi" w:eastAsia="Times New Roman" w:hAnsiTheme="minorHAnsi" w:cstheme="minorHAnsi"/>
                <w:b/>
                <w:bCs/>
                <w:color w:val="000000"/>
                <w:sz w:val="18"/>
                <w:szCs w:val="18"/>
                <w:lang w:val="en-CA"/>
              </w:rPr>
              <w:t>Activity</w:t>
            </w:r>
            <w:r w:rsidRPr="00AC0422">
              <w:rPr>
                <w:rFonts w:asciiTheme="minorHAnsi" w:eastAsia="Times New Roman" w:hAnsiTheme="minorHAnsi" w:cstheme="minorHAnsi"/>
                <w:color w:val="000000"/>
                <w:sz w:val="18"/>
                <w:szCs w:val="18"/>
                <w:lang w:val="en-CA"/>
              </w:rPr>
              <w:t xml:space="preserve"> </w:t>
            </w:r>
            <w:r w:rsidRPr="00AC0422">
              <w:rPr>
                <w:rFonts w:asciiTheme="minorHAnsi" w:eastAsia="Times New Roman" w:hAnsiTheme="minorHAnsi" w:cstheme="minorHAnsi"/>
                <w:b/>
                <w:bCs/>
                <w:color w:val="000000"/>
                <w:sz w:val="18"/>
                <w:szCs w:val="18"/>
                <w:lang w:val="en-CA"/>
              </w:rPr>
              <w:t>3.1.3.1c</w:t>
            </w:r>
            <w:r w:rsidRPr="00AC0422">
              <w:rPr>
                <w:rFonts w:asciiTheme="minorHAnsi" w:eastAsia="Times New Roman" w:hAnsiTheme="minorHAnsi" w:cstheme="minorHAnsi"/>
                <w:color w:val="000000"/>
                <w:sz w:val="18"/>
                <w:szCs w:val="18"/>
                <w:lang w:val="en-CA"/>
              </w:rPr>
              <w:t xml:space="preserve"> and </w:t>
            </w:r>
            <w:r w:rsidRPr="00AC0422">
              <w:rPr>
                <w:rFonts w:asciiTheme="minorHAnsi" w:eastAsia="Times New Roman" w:hAnsiTheme="minorHAnsi" w:cstheme="minorHAnsi"/>
                <w:b/>
                <w:bCs/>
                <w:color w:val="000000"/>
                <w:sz w:val="18"/>
                <w:szCs w:val="18"/>
                <w:lang w:val="en-CA"/>
              </w:rPr>
              <w:t>Activity 3.1.3.1e</w:t>
            </w:r>
            <w:r w:rsidRPr="00AC0422">
              <w:rPr>
                <w:rFonts w:asciiTheme="minorHAnsi" w:eastAsia="Times New Roman" w:hAnsiTheme="minorHAnsi" w:cstheme="minorHAnsi"/>
                <w:color w:val="000000"/>
                <w:sz w:val="18"/>
                <w:szCs w:val="18"/>
                <w:lang w:val="en-CA"/>
              </w:rPr>
              <w:t xml:space="preserve"> </w:t>
            </w:r>
          </w:p>
        </w:tc>
      </w:tr>
      <w:tr w:rsidR="00B11A7E" w:rsidRPr="00AC0422" w14:paraId="1B6697DC" w14:textId="77777777" w:rsidTr="00B11A7E">
        <w:trPr>
          <w:trHeight w:val="30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66F8818E"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L</w:t>
            </w:r>
          </w:p>
        </w:tc>
        <w:tc>
          <w:tcPr>
            <w:tcW w:w="11680" w:type="dxa"/>
            <w:tcBorders>
              <w:top w:val="nil"/>
              <w:left w:val="nil"/>
              <w:bottom w:val="single" w:sz="8" w:space="0" w:color="auto"/>
              <w:right w:val="single" w:sz="8" w:space="0" w:color="auto"/>
            </w:tcBorders>
            <w:shd w:val="clear" w:color="auto" w:fill="auto"/>
            <w:vAlign w:val="center"/>
            <w:hideMark/>
          </w:tcPr>
          <w:p w14:paraId="668F1D5E"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Bi-annual meetings of the Technical Climate Coordination Committee (TCCC) on the NAP process; </w:t>
            </w:r>
            <w:r w:rsidRPr="00AC0422">
              <w:rPr>
                <w:rFonts w:asciiTheme="minorHAnsi" w:eastAsia="Times New Roman" w:hAnsiTheme="minorHAnsi" w:cstheme="minorHAnsi"/>
                <w:b/>
                <w:bCs/>
                <w:color w:val="000000"/>
                <w:sz w:val="18"/>
                <w:szCs w:val="18"/>
                <w:lang w:val="en-CA"/>
              </w:rPr>
              <w:t>Activity 3.1.3.1c</w:t>
            </w:r>
          </w:p>
        </w:tc>
      </w:tr>
      <w:tr w:rsidR="00B11A7E" w:rsidRPr="00AC0422" w14:paraId="510B5415" w14:textId="77777777" w:rsidTr="00B11A7E">
        <w:trPr>
          <w:trHeight w:val="58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49DC9E4D"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M</w:t>
            </w:r>
          </w:p>
        </w:tc>
        <w:tc>
          <w:tcPr>
            <w:tcW w:w="11680" w:type="dxa"/>
            <w:tcBorders>
              <w:top w:val="nil"/>
              <w:left w:val="nil"/>
              <w:bottom w:val="single" w:sz="8" w:space="0" w:color="auto"/>
              <w:right w:val="single" w:sz="8" w:space="0" w:color="auto"/>
            </w:tcBorders>
            <w:shd w:val="clear" w:color="auto" w:fill="auto"/>
            <w:vAlign w:val="center"/>
            <w:hideMark/>
          </w:tcPr>
          <w:p w14:paraId="2FB1BF79"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International trips for training and exposure to international experiences in adaptation planning, </w:t>
            </w:r>
            <w:proofErr w:type="spellStart"/>
            <w:r w:rsidRPr="00AC0422">
              <w:rPr>
                <w:rFonts w:asciiTheme="minorHAnsi" w:eastAsia="Times New Roman" w:hAnsiTheme="minorHAnsi" w:cstheme="minorHAnsi"/>
                <w:color w:val="000000"/>
                <w:sz w:val="18"/>
                <w:szCs w:val="18"/>
                <w:lang w:val="en-CA"/>
              </w:rPr>
              <w:t>eg</w:t>
            </w:r>
            <w:proofErr w:type="spellEnd"/>
            <w:r w:rsidRPr="00AC0422">
              <w:rPr>
                <w:rFonts w:asciiTheme="minorHAnsi" w:eastAsia="Times New Roman" w:hAnsiTheme="minorHAnsi" w:cstheme="minorHAnsi"/>
                <w:color w:val="000000"/>
                <w:sz w:val="18"/>
                <w:szCs w:val="18"/>
                <w:lang w:val="en-CA"/>
              </w:rPr>
              <w:t xml:space="preserve">: South </w:t>
            </w:r>
            <w:proofErr w:type="spellStart"/>
            <w:r w:rsidRPr="00AC0422">
              <w:rPr>
                <w:rFonts w:asciiTheme="minorHAnsi" w:eastAsia="Times New Roman" w:hAnsiTheme="minorHAnsi" w:cstheme="minorHAnsi"/>
                <w:color w:val="000000"/>
                <w:sz w:val="18"/>
                <w:szCs w:val="18"/>
                <w:lang w:val="en-CA"/>
              </w:rPr>
              <w:t>south</w:t>
            </w:r>
            <w:proofErr w:type="spellEnd"/>
            <w:r w:rsidRPr="00AC0422">
              <w:rPr>
                <w:rFonts w:asciiTheme="minorHAnsi" w:eastAsia="Times New Roman" w:hAnsiTheme="minorHAnsi" w:cstheme="minorHAnsi"/>
                <w:color w:val="000000"/>
                <w:sz w:val="18"/>
                <w:szCs w:val="18"/>
                <w:lang w:val="en-CA"/>
              </w:rPr>
              <w:t xml:space="preserve"> exchange visits. There will be 6 trips at USD 2,500 per trip, totalling USD 15,000. 3 pax x2 trips </w:t>
            </w:r>
            <w:r w:rsidRPr="00AC0422">
              <w:rPr>
                <w:rFonts w:asciiTheme="minorHAnsi" w:eastAsia="Times New Roman" w:hAnsiTheme="minorHAnsi" w:cstheme="minorHAnsi"/>
                <w:b/>
                <w:bCs/>
                <w:i/>
                <w:iCs/>
                <w:color w:val="000000"/>
                <w:szCs w:val="20"/>
                <w:lang w:val="en-CA"/>
              </w:rPr>
              <w:t>Output 3.1.3</w:t>
            </w:r>
          </w:p>
        </w:tc>
      </w:tr>
      <w:tr w:rsidR="00B11A7E" w:rsidRPr="00AC0422" w14:paraId="27F8A897" w14:textId="77777777" w:rsidTr="00B11A7E">
        <w:trPr>
          <w:trHeight w:val="13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3AA57C47"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lastRenderedPageBreak/>
              <w:t>N</w:t>
            </w:r>
          </w:p>
        </w:tc>
        <w:tc>
          <w:tcPr>
            <w:tcW w:w="11680" w:type="dxa"/>
            <w:tcBorders>
              <w:top w:val="nil"/>
              <w:left w:val="nil"/>
              <w:bottom w:val="single" w:sz="8" w:space="0" w:color="auto"/>
              <w:right w:val="single" w:sz="8" w:space="0" w:color="auto"/>
            </w:tcBorders>
            <w:shd w:val="clear" w:color="auto" w:fill="auto"/>
            <w:vAlign w:val="center"/>
            <w:hideMark/>
          </w:tcPr>
          <w:p w14:paraId="799D70AD"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International Consultants @ $500 USD/day: </w:t>
            </w:r>
            <w:r w:rsidRPr="00AC0422">
              <w:rPr>
                <w:rFonts w:asciiTheme="minorHAnsi" w:eastAsia="Times New Roman" w:hAnsiTheme="minorHAnsi" w:cstheme="minorHAnsi"/>
                <w:color w:val="000000"/>
                <w:sz w:val="18"/>
                <w:szCs w:val="18"/>
                <w:lang w:val="en-CA"/>
              </w:rPr>
              <w:br/>
              <w:t xml:space="preserve">Institutional Capacity Development Specialist (Team Lead) - 50 days; </w:t>
            </w:r>
            <w:r w:rsidRPr="00AC0422">
              <w:rPr>
                <w:rFonts w:asciiTheme="minorHAnsi" w:eastAsia="Times New Roman" w:hAnsiTheme="minorHAnsi" w:cstheme="minorHAnsi"/>
                <w:color w:val="000000"/>
                <w:sz w:val="18"/>
                <w:szCs w:val="18"/>
                <w:lang w:val="en-CA"/>
              </w:rPr>
              <w:br/>
              <w:t xml:space="preserve">Climate Change Adaptation Specialist - 26 days; </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Activity 3.1.4a</w:t>
            </w:r>
          </w:p>
        </w:tc>
      </w:tr>
      <w:tr w:rsidR="00B11A7E" w:rsidRPr="00AC0422" w14:paraId="50A01DF8" w14:textId="77777777" w:rsidTr="00B11A7E">
        <w:trPr>
          <w:trHeight w:val="44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0968798F"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O</w:t>
            </w:r>
          </w:p>
        </w:tc>
        <w:tc>
          <w:tcPr>
            <w:tcW w:w="11680" w:type="dxa"/>
            <w:tcBorders>
              <w:top w:val="single" w:sz="4" w:space="0" w:color="auto"/>
              <w:left w:val="nil"/>
              <w:bottom w:val="single" w:sz="4" w:space="0" w:color="auto"/>
              <w:right w:val="single" w:sz="4" w:space="0" w:color="auto"/>
            </w:tcBorders>
            <w:shd w:val="clear" w:color="auto" w:fill="auto"/>
            <w:vAlign w:val="center"/>
            <w:hideMark/>
          </w:tcPr>
          <w:p w14:paraId="080C081E"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Local Experts @ $200 USD/day for a total of 546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Institutional Capacity Development Expert - 60 days; </w:t>
            </w:r>
            <w:r w:rsidRPr="00AC0422">
              <w:rPr>
                <w:rFonts w:asciiTheme="minorHAnsi" w:eastAsia="Times New Roman" w:hAnsiTheme="minorHAnsi" w:cstheme="minorHAnsi"/>
                <w:color w:val="000000"/>
                <w:sz w:val="18"/>
                <w:szCs w:val="18"/>
                <w:lang w:val="en-CA"/>
              </w:rPr>
              <w:br/>
              <w:t xml:space="preserve">Policy and Governance Expert - 30 days; </w:t>
            </w:r>
            <w:r w:rsidRPr="00AC0422">
              <w:rPr>
                <w:rFonts w:asciiTheme="minorHAnsi" w:eastAsia="Times New Roman" w:hAnsiTheme="minorHAnsi" w:cstheme="minorHAnsi"/>
                <w:color w:val="000000"/>
                <w:sz w:val="18"/>
                <w:szCs w:val="18"/>
                <w:lang w:val="en-CA"/>
              </w:rPr>
              <w:br/>
              <w:t xml:space="preserve">Training Specialist - 40 days; </w:t>
            </w:r>
            <w:r w:rsidRPr="00AC0422">
              <w:rPr>
                <w:rFonts w:asciiTheme="minorHAnsi" w:eastAsia="Times New Roman" w:hAnsiTheme="minorHAnsi" w:cstheme="minorHAnsi"/>
                <w:color w:val="000000"/>
                <w:sz w:val="18"/>
                <w:szCs w:val="18"/>
                <w:lang w:val="en-CA"/>
              </w:rPr>
              <w:br/>
              <w:t xml:space="preserve">Stakeholder Engagement Specialist - 99 days; </w:t>
            </w:r>
            <w:r w:rsidRPr="00AC0422">
              <w:rPr>
                <w:rFonts w:asciiTheme="minorHAnsi" w:eastAsia="Times New Roman" w:hAnsiTheme="minorHAnsi" w:cstheme="minorHAnsi"/>
                <w:color w:val="000000"/>
                <w:sz w:val="18"/>
                <w:szCs w:val="18"/>
                <w:lang w:val="en-CA"/>
              </w:rPr>
              <w:br/>
              <w:t xml:space="preserve">Monitoring and Evaluation (M&amp;E) Specialist - 25 days; </w:t>
            </w:r>
            <w:r w:rsidRPr="00AC0422">
              <w:rPr>
                <w:rFonts w:asciiTheme="minorHAnsi" w:eastAsia="Times New Roman" w:hAnsiTheme="minorHAnsi" w:cstheme="minorHAnsi"/>
                <w:color w:val="000000"/>
                <w:sz w:val="18"/>
                <w:szCs w:val="18"/>
                <w:lang w:val="en-CA"/>
              </w:rPr>
              <w:br/>
              <w:t xml:space="preserve">Communication Specialist (Team Lead) - 74 days; </w:t>
            </w:r>
            <w:r w:rsidRPr="00AC0422">
              <w:rPr>
                <w:rFonts w:asciiTheme="minorHAnsi" w:eastAsia="Times New Roman" w:hAnsiTheme="minorHAnsi" w:cstheme="minorHAnsi"/>
                <w:color w:val="000000"/>
                <w:sz w:val="18"/>
                <w:szCs w:val="18"/>
                <w:lang w:val="en-CA"/>
              </w:rPr>
              <w:br/>
              <w:t xml:space="preserve">Media and Content Developer - 30 days; </w:t>
            </w:r>
            <w:r w:rsidRPr="00AC0422">
              <w:rPr>
                <w:rFonts w:asciiTheme="minorHAnsi" w:eastAsia="Times New Roman" w:hAnsiTheme="minorHAnsi" w:cstheme="minorHAnsi"/>
                <w:color w:val="000000"/>
                <w:sz w:val="18"/>
                <w:szCs w:val="18"/>
                <w:lang w:val="en-CA"/>
              </w:rPr>
              <w:br/>
              <w:t xml:space="preserve">Community Mobilizer - 30 days; </w:t>
            </w:r>
            <w:r w:rsidRPr="00AC0422">
              <w:rPr>
                <w:rFonts w:asciiTheme="minorHAnsi" w:eastAsia="Times New Roman" w:hAnsiTheme="minorHAnsi" w:cstheme="minorHAnsi"/>
                <w:color w:val="000000"/>
                <w:sz w:val="18"/>
                <w:szCs w:val="18"/>
                <w:lang w:val="en-CA"/>
              </w:rPr>
              <w:br/>
              <w:t xml:space="preserve">Graphic Designer - 20 days; </w:t>
            </w:r>
            <w:r w:rsidRPr="00AC0422">
              <w:rPr>
                <w:rFonts w:asciiTheme="minorHAnsi" w:eastAsia="Times New Roman" w:hAnsiTheme="minorHAnsi" w:cstheme="minorHAnsi"/>
                <w:color w:val="000000"/>
                <w:sz w:val="18"/>
                <w:szCs w:val="18"/>
                <w:lang w:val="en-CA"/>
              </w:rPr>
              <w:br/>
              <w:t xml:space="preserve">Awareness Raising Expert (Team Lead) - 64 days; </w:t>
            </w:r>
            <w:r w:rsidRPr="00AC0422">
              <w:rPr>
                <w:rFonts w:asciiTheme="minorHAnsi" w:eastAsia="Times New Roman" w:hAnsiTheme="minorHAnsi" w:cstheme="minorHAnsi"/>
                <w:color w:val="000000"/>
                <w:sz w:val="18"/>
                <w:szCs w:val="18"/>
                <w:lang w:val="en-CA"/>
              </w:rPr>
              <w:br/>
              <w:t xml:space="preserve">Logistics coordinator - 24 days; </w:t>
            </w:r>
            <w:r w:rsidRPr="00AC0422">
              <w:rPr>
                <w:rFonts w:asciiTheme="minorHAnsi" w:eastAsia="Times New Roman" w:hAnsiTheme="minorHAnsi" w:cstheme="minorHAnsi"/>
                <w:color w:val="000000"/>
                <w:sz w:val="18"/>
                <w:szCs w:val="18"/>
                <w:lang w:val="en-CA"/>
              </w:rPr>
              <w:br/>
              <w:t xml:space="preserve">Data Analyst - 30 days; </w:t>
            </w:r>
            <w:r w:rsidRPr="00AC0422">
              <w:rPr>
                <w:rFonts w:asciiTheme="minorHAnsi" w:eastAsia="Times New Roman" w:hAnsiTheme="minorHAnsi" w:cstheme="minorHAnsi"/>
                <w:color w:val="000000"/>
                <w:sz w:val="18"/>
                <w:szCs w:val="18"/>
                <w:lang w:val="en-CA"/>
              </w:rPr>
              <w:br/>
              <w:t xml:space="preserve">Report writer - 20 </w:t>
            </w:r>
            <w:proofErr w:type="spellStart"/>
            <w:r w:rsidRPr="00AC0422">
              <w:rPr>
                <w:rFonts w:asciiTheme="minorHAnsi" w:eastAsia="Times New Roman" w:hAnsiTheme="minorHAnsi" w:cstheme="minorHAnsi"/>
                <w:color w:val="000000"/>
                <w:sz w:val="18"/>
                <w:szCs w:val="18"/>
                <w:lang w:val="en-CA"/>
              </w:rPr>
              <w:t>days</w:t>
            </w:r>
            <w:proofErr w:type="spellEnd"/>
            <w:r w:rsidRPr="00AC0422">
              <w:rPr>
                <w:rFonts w:asciiTheme="minorHAnsi" w:eastAsia="Times New Roman" w:hAnsiTheme="minorHAnsi" w:cstheme="minorHAnsi"/>
                <w:color w:val="000000"/>
                <w:sz w:val="18"/>
                <w:szCs w:val="18"/>
                <w:lang w:val="en-CA"/>
              </w:rPr>
              <w:t xml:space="preserve"> </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Activity 3.1.4a/b/c/d</w:t>
            </w:r>
          </w:p>
        </w:tc>
      </w:tr>
      <w:tr w:rsidR="00B11A7E" w:rsidRPr="00AC0422" w14:paraId="5957C935" w14:textId="77777777" w:rsidTr="00B11A7E">
        <w:trPr>
          <w:trHeight w:val="7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29AAA057"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P</w:t>
            </w:r>
          </w:p>
        </w:tc>
        <w:tc>
          <w:tcPr>
            <w:tcW w:w="11680" w:type="dxa"/>
            <w:tcBorders>
              <w:top w:val="nil"/>
              <w:left w:val="nil"/>
              <w:bottom w:val="single" w:sz="8" w:space="0" w:color="auto"/>
              <w:right w:val="single" w:sz="8" w:space="0" w:color="auto"/>
            </w:tcBorders>
            <w:shd w:val="clear" w:color="auto" w:fill="auto"/>
            <w:vAlign w:val="center"/>
            <w:hideMark/>
          </w:tcPr>
          <w:p w14:paraId="11D5FD01"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themeColor="text1"/>
                <w:sz w:val="18"/>
                <w:szCs w:val="18"/>
                <w:lang w:val="en-CA"/>
              </w:rPr>
              <w:t xml:space="preserve">Training workshops covering 160 practitioners across 4 sectors in multiple climate change adaptation topics (at least 30% women) Activity 3.1.4.1b </w:t>
            </w:r>
            <w:r w:rsidRPr="00AC0422">
              <w:rPr>
                <w:rFonts w:asciiTheme="minorHAnsi" w:eastAsia="Times New Roman" w:hAnsiTheme="minorHAnsi" w:cstheme="minorHAnsi"/>
                <w:b/>
                <w:bCs/>
                <w:i/>
                <w:iCs/>
                <w:color w:val="000000" w:themeColor="text1"/>
                <w:szCs w:val="20"/>
                <w:lang w:val="en-CA"/>
              </w:rPr>
              <w:t>Output 3.1.4</w:t>
            </w:r>
          </w:p>
        </w:tc>
      </w:tr>
      <w:tr w:rsidR="00B11A7E" w:rsidRPr="00AC0422" w14:paraId="68A7A308" w14:textId="77777777" w:rsidTr="00B11A7E">
        <w:trPr>
          <w:trHeight w:val="6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17CED8CA"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Q</w:t>
            </w:r>
          </w:p>
        </w:tc>
        <w:tc>
          <w:tcPr>
            <w:tcW w:w="11680" w:type="dxa"/>
            <w:tcBorders>
              <w:top w:val="nil"/>
              <w:left w:val="nil"/>
              <w:bottom w:val="single" w:sz="8" w:space="0" w:color="auto"/>
              <w:right w:val="single" w:sz="8" w:space="0" w:color="auto"/>
            </w:tcBorders>
            <w:shd w:val="clear" w:color="auto" w:fill="auto"/>
            <w:vAlign w:val="center"/>
            <w:hideMark/>
          </w:tcPr>
          <w:p w14:paraId="755F6B63"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Audio Visual &amp; Printing for training workshops. 10 packages of audit visual and printing at $4,000 each totalling USD 40,000 </w:t>
            </w:r>
            <w:r w:rsidRPr="00AC0422">
              <w:rPr>
                <w:rFonts w:asciiTheme="minorHAnsi" w:eastAsia="Times New Roman" w:hAnsiTheme="minorHAnsi" w:cstheme="minorHAnsi"/>
                <w:b/>
                <w:bCs/>
                <w:i/>
                <w:iCs/>
                <w:color w:val="000000"/>
                <w:szCs w:val="20"/>
                <w:lang w:val="en-CA"/>
              </w:rPr>
              <w:t>Output 3.1.4</w:t>
            </w:r>
          </w:p>
        </w:tc>
      </w:tr>
      <w:tr w:rsidR="00B11A7E" w:rsidRPr="00AC0422" w14:paraId="0D90F644" w14:textId="77777777" w:rsidTr="00B11A7E">
        <w:trPr>
          <w:trHeight w:val="8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022663AB"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R</w:t>
            </w:r>
          </w:p>
        </w:tc>
        <w:tc>
          <w:tcPr>
            <w:tcW w:w="11680" w:type="dxa"/>
            <w:tcBorders>
              <w:top w:val="nil"/>
              <w:left w:val="nil"/>
              <w:bottom w:val="single" w:sz="8" w:space="0" w:color="auto"/>
              <w:right w:val="single" w:sz="8" w:space="0" w:color="auto"/>
            </w:tcBorders>
            <w:shd w:val="clear" w:color="auto" w:fill="auto"/>
            <w:vAlign w:val="center"/>
            <w:hideMark/>
          </w:tcPr>
          <w:p w14:paraId="15CA50F8"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Professional Services Firm to conduct awareness surveys at the start, midpoint, and end of the project to measure the level and evolution of awareness on climate change and adaptation. Each of the three surveys is estimated to cost USD 15,000 totalling USD 45,000. </w:t>
            </w:r>
            <w:r w:rsidRPr="00AC0422">
              <w:rPr>
                <w:rFonts w:asciiTheme="minorHAnsi" w:eastAsia="Times New Roman" w:hAnsiTheme="minorHAnsi" w:cstheme="minorHAnsi"/>
                <w:b/>
                <w:bCs/>
                <w:i/>
                <w:iCs/>
                <w:color w:val="000000"/>
                <w:szCs w:val="20"/>
                <w:lang w:val="en-CA"/>
              </w:rPr>
              <w:t>Output 3.1.4</w:t>
            </w:r>
          </w:p>
        </w:tc>
      </w:tr>
      <w:tr w:rsidR="00B11A7E" w:rsidRPr="00AC0422" w14:paraId="37F74368" w14:textId="77777777" w:rsidTr="00B11A7E">
        <w:trPr>
          <w:trHeight w:val="13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0D4453B7"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S</w:t>
            </w:r>
          </w:p>
        </w:tc>
        <w:tc>
          <w:tcPr>
            <w:tcW w:w="11680" w:type="dxa"/>
            <w:tcBorders>
              <w:top w:val="nil"/>
              <w:left w:val="nil"/>
              <w:bottom w:val="single" w:sz="8" w:space="0" w:color="auto"/>
              <w:right w:val="single" w:sz="8" w:space="0" w:color="auto"/>
            </w:tcBorders>
            <w:shd w:val="clear" w:color="auto" w:fill="auto"/>
            <w:vAlign w:val="center"/>
            <w:hideMark/>
          </w:tcPr>
          <w:p w14:paraId="114C5220"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International Consultants @ $500 USD/day: </w:t>
            </w:r>
            <w:r w:rsidRPr="00AC0422">
              <w:rPr>
                <w:rFonts w:asciiTheme="minorHAnsi" w:eastAsia="Times New Roman" w:hAnsiTheme="minorHAnsi" w:cstheme="minorHAnsi"/>
                <w:color w:val="000000"/>
                <w:sz w:val="18"/>
                <w:szCs w:val="18"/>
                <w:lang w:val="en-CA"/>
              </w:rPr>
              <w:br/>
              <w:t xml:space="preserve">M&amp;E Specialist (Team Lead) - 104 days; </w:t>
            </w:r>
            <w:r w:rsidRPr="00AC0422">
              <w:rPr>
                <w:rFonts w:asciiTheme="minorHAnsi" w:eastAsia="Times New Roman" w:hAnsiTheme="minorHAnsi" w:cstheme="minorHAnsi"/>
                <w:color w:val="000000"/>
                <w:sz w:val="18"/>
                <w:szCs w:val="18"/>
                <w:lang w:val="en-CA"/>
              </w:rPr>
              <w:br/>
              <w:t xml:space="preserve">Climate change adaptation Expert - 20 days; </w:t>
            </w:r>
            <w:r w:rsidRPr="00AC0422">
              <w:rPr>
                <w:rFonts w:asciiTheme="minorHAnsi" w:eastAsia="Times New Roman" w:hAnsiTheme="minorHAnsi" w:cstheme="minorHAnsi"/>
                <w:color w:val="000000"/>
                <w:sz w:val="18"/>
                <w:szCs w:val="18"/>
                <w:lang w:val="en-CA"/>
              </w:rPr>
              <w:br/>
              <w:t>Output 3.2.1</w:t>
            </w:r>
          </w:p>
        </w:tc>
      </w:tr>
      <w:tr w:rsidR="00B11A7E" w:rsidRPr="00AC0422" w14:paraId="1CE429B3" w14:textId="77777777" w:rsidTr="00B11A7E">
        <w:trPr>
          <w:trHeight w:val="310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23E1C5F3"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lastRenderedPageBreak/>
              <w:t>T</w:t>
            </w:r>
          </w:p>
        </w:tc>
        <w:tc>
          <w:tcPr>
            <w:tcW w:w="11680" w:type="dxa"/>
            <w:tcBorders>
              <w:top w:val="single" w:sz="4" w:space="0" w:color="auto"/>
              <w:left w:val="nil"/>
              <w:bottom w:val="single" w:sz="4" w:space="0" w:color="auto"/>
              <w:right w:val="single" w:sz="4" w:space="0" w:color="auto"/>
            </w:tcBorders>
            <w:shd w:val="clear" w:color="auto" w:fill="auto"/>
            <w:vAlign w:val="center"/>
            <w:hideMark/>
          </w:tcPr>
          <w:p w14:paraId="2773B499"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Local Experts @ $200 USD/day for a total of 415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Gender and Social Inclusion Specialist - 30; </w:t>
            </w:r>
            <w:r w:rsidRPr="00AC0422">
              <w:rPr>
                <w:rFonts w:asciiTheme="minorHAnsi" w:eastAsia="Times New Roman" w:hAnsiTheme="minorHAnsi" w:cstheme="minorHAnsi"/>
                <w:color w:val="000000"/>
                <w:sz w:val="18"/>
                <w:szCs w:val="18"/>
                <w:lang w:val="en-CA"/>
              </w:rPr>
              <w:br/>
              <w:t xml:space="preserve">Sectoral Climate Adaptation Specialists - 120 days; </w:t>
            </w:r>
            <w:r w:rsidRPr="00AC0422">
              <w:rPr>
                <w:rFonts w:asciiTheme="minorHAnsi" w:eastAsia="Times New Roman" w:hAnsiTheme="minorHAnsi" w:cstheme="minorHAnsi"/>
                <w:color w:val="000000"/>
                <w:sz w:val="18"/>
                <w:szCs w:val="18"/>
                <w:lang w:val="en-CA"/>
              </w:rPr>
              <w:br/>
              <w:t xml:space="preserve">Data Analyst - 60 days; </w:t>
            </w:r>
            <w:r w:rsidRPr="00AC0422">
              <w:rPr>
                <w:rFonts w:asciiTheme="minorHAnsi" w:eastAsia="Times New Roman" w:hAnsiTheme="minorHAnsi" w:cstheme="minorHAnsi"/>
                <w:color w:val="000000"/>
                <w:sz w:val="18"/>
                <w:szCs w:val="18"/>
                <w:lang w:val="en-CA"/>
              </w:rPr>
              <w:br/>
              <w:t xml:space="preserve">Technical Writer - 65 days; </w:t>
            </w:r>
            <w:r w:rsidRPr="00AC0422">
              <w:rPr>
                <w:rFonts w:asciiTheme="minorHAnsi" w:eastAsia="Times New Roman" w:hAnsiTheme="minorHAnsi" w:cstheme="minorHAnsi"/>
                <w:color w:val="000000"/>
                <w:sz w:val="18"/>
                <w:szCs w:val="18"/>
                <w:lang w:val="en-CA"/>
              </w:rPr>
              <w:br/>
              <w:t xml:space="preserve">Stakeholder Engagement Specialist - 60 days; </w:t>
            </w:r>
            <w:r w:rsidRPr="00AC0422">
              <w:rPr>
                <w:rFonts w:asciiTheme="minorHAnsi" w:eastAsia="Times New Roman" w:hAnsiTheme="minorHAnsi" w:cstheme="minorHAnsi"/>
                <w:color w:val="000000"/>
                <w:sz w:val="18"/>
                <w:szCs w:val="18"/>
                <w:lang w:val="en-CA"/>
              </w:rPr>
              <w:br/>
              <w:t xml:space="preserve">Training Specialist (Team Lead) - 30 days; </w:t>
            </w:r>
            <w:r w:rsidRPr="00AC0422">
              <w:rPr>
                <w:rFonts w:asciiTheme="minorHAnsi" w:eastAsia="Times New Roman" w:hAnsiTheme="minorHAnsi" w:cstheme="minorHAnsi"/>
                <w:color w:val="000000"/>
                <w:sz w:val="18"/>
                <w:szCs w:val="18"/>
                <w:lang w:val="en-CA"/>
              </w:rPr>
              <w:br/>
              <w:t xml:space="preserve">Software/Web </w:t>
            </w:r>
            <w:proofErr w:type="spellStart"/>
            <w:r w:rsidRPr="00AC0422">
              <w:rPr>
                <w:rFonts w:asciiTheme="minorHAnsi" w:eastAsia="Times New Roman" w:hAnsiTheme="minorHAnsi" w:cstheme="minorHAnsi"/>
                <w:color w:val="000000"/>
                <w:sz w:val="18"/>
                <w:szCs w:val="18"/>
                <w:lang w:val="en-CA"/>
              </w:rPr>
              <w:t>Dveloper</w:t>
            </w:r>
            <w:proofErr w:type="spellEnd"/>
            <w:r w:rsidRPr="00AC0422">
              <w:rPr>
                <w:rFonts w:asciiTheme="minorHAnsi" w:eastAsia="Times New Roman" w:hAnsiTheme="minorHAnsi" w:cstheme="minorHAnsi"/>
                <w:color w:val="000000"/>
                <w:sz w:val="18"/>
                <w:szCs w:val="18"/>
                <w:lang w:val="en-CA"/>
              </w:rPr>
              <w:t xml:space="preserve"> - 10 days; </w:t>
            </w:r>
            <w:r w:rsidRPr="00AC0422">
              <w:rPr>
                <w:rFonts w:asciiTheme="minorHAnsi" w:eastAsia="Times New Roman" w:hAnsiTheme="minorHAnsi" w:cstheme="minorHAnsi"/>
                <w:color w:val="000000"/>
                <w:sz w:val="18"/>
                <w:szCs w:val="18"/>
                <w:lang w:val="en-CA"/>
              </w:rPr>
              <w:br/>
              <w:t xml:space="preserve">Knowledge Management Specialist (Team Lead) - 30 days; </w:t>
            </w:r>
            <w:r w:rsidRPr="00AC0422">
              <w:rPr>
                <w:rFonts w:asciiTheme="minorHAnsi" w:eastAsia="Times New Roman" w:hAnsiTheme="minorHAnsi" w:cstheme="minorHAnsi"/>
                <w:color w:val="000000"/>
                <w:sz w:val="18"/>
                <w:szCs w:val="18"/>
                <w:lang w:val="en-CA"/>
              </w:rPr>
              <w:br/>
              <w:t xml:space="preserve">Facilitator (Team Lead) - 5 days; </w:t>
            </w:r>
            <w:r w:rsidRPr="00AC0422">
              <w:rPr>
                <w:rFonts w:asciiTheme="minorHAnsi" w:eastAsia="Times New Roman" w:hAnsiTheme="minorHAnsi" w:cstheme="minorHAnsi"/>
                <w:color w:val="000000"/>
                <w:sz w:val="18"/>
                <w:szCs w:val="18"/>
                <w:lang w:val="en-CA"/>
              </w:rPr>
              <w:br/>
              <w:t>Logistics Coordinator - 5 days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Output 3.2.1</w:t>
            </w:r>
          </w:p>
        </w:tc>
      </w:tr>
      <w:tr w:rsidR="00B11A7E" w:rsidRPr="00AC0422" w14:paraId="36B7400C" w14:textId="77777777" w:rsidTr="00B11A7E">
        <w:trPr>
          <w:trHeight w:val="5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782082E1"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U</w:t>
            </w:r>
          </w:p>
        </w:tc>
        <w:tc>
          <w:tcPr>
            <w:tcW w:w="11680" w:type="dxa"/>
            <w:tcBorders>
              <w:top w:val="nil"/>
              <w:left w:val="nil"/>
              <w:bottom w:val="single" w:sz="4" w:space="0" w:color="auto"/>
              <w:right w:val="single" w:sz="4" w:space="0" w:color="auto"/>
            </w:tcBorders>
            <w:shd w:val="clear" w:color="auto" w:fill="auto"/>
            <w:vAlign w:val="center"/>
            <w:hideMark/>
          </w:tcPr>
          <w:p w14:paraId="1249DD30"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Software/web Developer (Professional Services Company) to develop the technical components of the M&amp;E system, ensuring seamless integration with the NAP Portal and user accessibility. Estimated at a lumpsum of USD 50,000 Output 3.2.1</w:t>
            </w:r>
          </w:p>
        </w:tc>
      </w:tr>
      <w:tr w:rsidR="00B11A7E" w:rsidRPr="00AC0422" w14:paraId="71A1C23D" w14:textId="77777777" w:rsidTr="00B11A7E">
        <w:trPr>
          <w:trHeight w:val="58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2F20DC62"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V</w:t>
            </w:r>
          </w:p>
        </w:tc>
        <w:tc>
          <w:tcPr>
            <w:tcW w:w="11680" w:type="dxa"/>
            <w:tcBorders>
              <w:top w:val="nil"/>
              <w:left w:val="nil"/>
              <w:bottom w:val="single" w:sz="4" w:space="0" w:color="auto"/>
              <w:right w:val="single" w:sz="4" w:space="0" w:color="auto"/>
            </w:tcBorders>
            <w:shd w:val="clear" w:color="auto" w:fill="auto"/>
            <w:vAlign w:val="center"/>
            <w:hideMark/>
          </w:tcPr>
          <w:p w14:paraId="1AB37525"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Training workshops on the M&amp;E system for COCA, TCCC, and staff of at least three ministries Output 3.2.1</w:t>
            </w:r>
          </w:p>
        </w:tc>
      </w:tr>
      <w:tr w:rsidR="00B11A7E" w:rsidRPr="00AC0422" w14:paraId="0537295A" w14:textId="77777777" w:rsidTr="00B11A7E">
        <w:trPr>
          <w:trHeight w:val="56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65A58808"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W</w:t>
            </w:r>
          </w:p>
        </w:tc>
        <w:tc>
          <w:tcPr>
            <w:tcW w:w="11680" w:type="dxa"/>
            <w:tcBorders>
              <w:top w:val="nil"/>
              <w:left w:val="nil"/>
              <w:bottom w:val="single" w:sz="4" w:space="0" w:color="auto"/>
              <w:right w:val="single" w:sz="4" w:space="0" w:color="auto"/>
            </w:tcBorders>
            <w:shd w:val="clear" w:color="auto" w:fill="auto"/>
            <w:vAlign w:val="center"/>
            <w:hideMark/>
          </w:tcPr>
          <w:p w14:paraId="1A608E13"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Final national meeting to present and discuss the main results of the project and agree on a roadmap for the next iteration of the NAP. The meeting is estimated at a cost of USD 5,000 including the cost of venue and catering for the participants. Output 3.2.1</w:t>
            </w:r>
          </w:p>
        </w:tc>
      </w:tr>
      <w:tr w:rsidR="00B11A7E" w:rsidRPr="00AC0422" w14:paraId="17C8D25B" w14:textId="77777777" w:rsidTr="00B11A7E">
        <w:trPr>
          <w:trHeight w:val="110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303A08E2"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X</w:t>
            </w:r>
          </w:p>
        </w:tc>
        <w:tc>
          <w:tcPr>
            <w:tcW w:w="11680" w:type="dxa"/>
            <w:tcBorders>
              <w:top w:val="nil"/>
              <w:left w:val="nil"/>
              <w:bottom w:val="single" w:sz="4" w:space="0" w:color="auto"/>
              <w:right w:val="single" w:sz="4" w:space="0" w:color="auto"/>
            </w:tcBorders>
            <w:shd w:val="clear" w:color="auto" w:fill="auto"/>
            <w:vAlign w:val="center"/>
            <w:hideMark/>
          </w:tcPr>
          <w:p w14:paraId="3D739FDE" w14:textId="17268126"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Audio Visual &amp; Printing for training workshops and final meeting. 5 packages of audio visual and printing at $</w:t>
            </w:r>
            <w:r w:rsidR="00F73B2B">
              <w:rPr>
                <w:rFonts w:asciiTheme="minorHAnsi" w:eastAsia="Times New Roman" w:hAnsiTheme="minorHAnsi" w:cstheme="minorHAnsi"/>
                <w:color w:val="000000"/>
                <w:sz w:val="18"/>
                <w:szCs w:val="18"/>
                <w:lang w:val="en-CA"/>
              </w:rPr>
              <w:t>1</w:t>
            </w:r>
            <w:r w:rsidRPr="00AC0422">
              <w:rPr>
                <w:rFonts w:asciiTheme="minorHAnsi" w:eastAsia="Times New Roman" w:hAnsiTheme="minorHAnsi" w:cstheme="minorHAnsi"/>
                <w:color w:val="000000"/>
                <w:sz w:val="18"/>
                <w:szCs w:val="18"/>
                <w:lang w:val="en-CA"/>
              </w:rPr>
              <w:t>,</w:t>
            </w:r>
            <w:r w:rsidR="00F73B2B">
              <w:rPr>
                <w:rFonts w:asciiTheme="minorHAnsi" w:eastAsia="Times New Roman" w:hAnsiTheme="minorHAnsi" w:cstheme="minorHAnsi"/>
                <w:color w:val="000000"/>
                <w:sz w:val="18"/>
                <w:szCs w:val="18"/>
                <w:lang w:val="en-CA"/>
              </w:rPr>
              <w:t>5</w:t>
            </w:r>
            <w:r w:rsidRPr="00AC0422">
              <w:rPr>
                <w:rFonts w:asciiTheme="minorHAnsi" w:eastAsia="Times New Roman" w:hAnsiTheme="minorHAnsi" w:cstheme="minorHAnsi"/>
                <w:color w:val="000000"/>
                <w:sz w:val="18"/>
                <w:szCs w:val="18"/>
                <w:lang w:val="en-CA"/>
              </w:rPr>
              <w:t>00 each totalling USD</w:t>
            </w:r>
            <w:r w:rsidR="00F73B2B">
              <w:rPr>
                <w:rFonts w:asciiTheme="minorHAnsi" w:eastAsia="Times New Roman" w:hAnsiTheme="minorHAnsi" w:cstheme="minorHAnsi"/>
                <w:color w:val="000000"/>
                <w:sz w:val="18"/>
                <w:szCs w:val="18"/>
                <w:lang w:val="en-CA"/>
              </w:rPr>
              <w:t>7</w:t>
            </w:r>
            <w:r w:rsidRPr="00AC0422">
              <w:rPr>
                <w:rFonts w:asciiTheme="minorHAnsi" w:eastAsia="Times New Roman" w:hAnsiTheme="minorHAnsi" w:cstheme="minorHAnsi"/>
                <w:color w:val="000000"/>
                <w:sz w:val="18"/>
                <w:szCs w:val="18"/>
                <w:lang w:val="en-CA"/>
              </w:rPr>
              <w:t>,</w:t>
            </w:r>
            <w:r w:rsidR="00F73B2B">
              <w:rPr>
                <w:rFonts w:asciiTheme="minorHAnsi" w:eastAsia="Times New Roman" w:hAnsiTheme="minorHAnsi" w:cstheme="minorHAnsi"/>
                <w:color w:val="000000"/>
                <w:sz w:val="18"/>
                <w:szCs w:val="18"/>
                <w:lang w:val="en-CA"/>
              </w:rPr>
              <w:t>5</w:t>
            </w:r>
            <w:r w:rsidRPr="00AC0422">
              <w:rPr>
                <w:rFonts w:asciiTheme="minorHAnsi" w:eastAsia="Times New Roman" w:hAnsiTheme="minorHAnsi" w:cstheme="minorHAnsi"/>
                <w:color w:val="000000"/>
                <w:sz w:val="18"/>
                <w:szCs w:val="18"/>
                <w:lang w:val="en-CA"/>
              </w:rPr>
              <w:t>00 Output 3.2.1</w:t>
            </w:r>
          </w:p>
        </w:tc>
      </w:tr>
      <w:tr w:rsidR="00B11A7E" w:rsidRPr="00AC0422" w14:paraId="59130215" w14:textId="77777777" w:rsidTr="00B11A7E">
        <w:trPr>
          <w:trHeight w:val="43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0E3AA436"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lastRenderedPageBreak/>
              <w:t>Z</w:t>
            </w:r>
          </w:p>
        </w:tc>
        <w:tc>
          <w:tcPr>
            <w:tcW w:w="11680" w:type="dxa"/>
            <w:tcBorders>
              <w:top w:val="nil"/>
              <w:left w:val="nil"/>
              <w:bottom w:val="single" w:sz="4" w:space="0" w:color="auto"/>
              <w:right w:val="single" w:sz="4" w:space="0" w:color="auto"/>
            </w:tcBorders>
            <w:shd w:val="clear" w:color="auto" w:fill="auto"/>
            <w:vAlign w:val="center"/>
            <w:hideMark/>
          </w:tcPr>
          <w:p w14:paraId="7ABA531A"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International Consultants @ $550 USD/day for a total of 760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Climate Modeler (Team Lead) - 60 days;</w:t>
            </w:r>
            <w:r w:rsidRPr="00AC0422">
              <w:rPr>
                <w:rFonts w:asciiTheme="minorHAnsi" w:eastAsia="Times New Roman" w:hAnsiTheme="minorHAnsi" w:cstheme="minorHAnsi"/>
                <w:color w:val="000000"/>
                <w:sz w:val="18"/>
                <w:szCs w:val="18"/>
                <w:lang w:val="en-CA"/>
              </w:rPr>
              <w:br/>
              <w:t xml:space="preserve">International team of Climate Modellers, Hydrologist, Meteorologist, GIS Expert, Data Modelling expert) - 170 days; </w:t>
            </w:r>
            <w:r w:rsidRPr="00AC0422">
              <w:rPr>
                <w:rFonts w:asciiTheme="minorHAnsi" w:eastAsia="Times New Roman" w:hAnsiTheme="minorHAnsi" w:cstheme="minorHAnsi"/>
                <w:color w:val="000000"/>
                <w:sz w:val="18"/>
                <w:szCs w:val="18"/>
                <w:lang w:val="en-CA"/>
              </w:rPr>
              <w:br/>
              <w:t>Conflict Analysis Expert for key Sectors- 60 days                                                                                                                                  Climate multi-hazard and risk modelling and mapping expert/risk assessment expert (Team Lead) - 60 days;</w:t>
            </w:r>
            <w:r w:rsidRPr="00AC0422">
              <w:rPr>
                <w:rFonts w:asciiTheme="minorHAnsi" w:eastAsia="Times New Roman" w:hAnsiTheme="minorHAnsi" w:cstheme="minorHAnsi"/>
                <w:color w:val="000000"/>
                <w:sz w:val="18"/>
                <w:szCs w:val="18"/>
                <w:lang w:val="en-CA"/>
              </w:rPr>
              <w:br/>
              <w:t xml:space="preserve">Hydrologist/multi-hazard modelling expert - 60 days; </w:t>
            </w:r>
            <w:r w:rsidRPr="00AC0422">
              <w:rPr>
                <w:rFonts w:asciiTheme="minorHAnsi" w:eastAsia="Times New Roman" w:hAnsiTheme="minorHAnsi" w:cstheme="minorHAnsi"/>
                <w:color w:val="000000"/>
                <w:sz w:val="18"/>
                <w:szCs w:val="18"/>
                <w:lang w:val="en-CA"/>
              </w:rPr>
              <w:br/>
              <w:t xml:space="preserve">GIS Specialist - 30 days; </w:t>
            </w:r>
            <w:r w:rsidRPr="00AC0422">
              <w:rPr>
                <w:rFonts w:asciiTheme="minorHAnsi" w:eastAsia="Times New Roman" w:hAnsiTheme="minorHAnsi" w:cstheme="minorHAnsi"/>
                <w:color w:val="000000"/>
                <w:sz w:val="18"/>
                <w:szCs w:val="18"/>
                <w:lang w:val="en-CA"/>
              </w:rPr>
              <w:br/>
              <w:t xml:space="preserve">Socio-economics Expert - 40 days; </w:t>
            </w:r>
            <w:r w:rsidRPr="00AC0422">
              <w:rPr>
                <w:rFonts w:asciiTheme="minorHAnsi" w:eastAsia="Times New Roman" w:hAnsiTheme="minorHAnsi" w:cstheme="minorHAnsi"/>
                <w:color w:val="000000"/>
                <w:sz w:val="18"/>
                <w:szCs w:val="18"/>
                <w:lang w:val="en-CA"/>
              </w:rPr>
              <w:br/>
              <w:t xml:space="preserve">Procurement Specialist (Team Lead) - 30 days; </w:t>
            </w:r>
            <w:r w:rsidRPr="00AC0422">
              <w:rPr>
                <w:rFonts w:asciiTheme="minorHAnsi" w:eastAsia="Times New Roman" w:hAnsiTheme="minorHAnsi" w:cstheme="minorHAnsi"/>
                <w:color w:val="000000"/>
                <w:sz w:val="18"/>
                <w:szCs w:val="18"/>
                <w:lang w:val="en-CA"/>
              </w:rPr>
              <w:br/>
              <w:t xml:space="preserve">Climate Data Specialist (team lead) - 60 days; </w:t>
            </w:r>
            <w:r w:rsidRPr="00AC0422">
              <w:rPr>
                <w:rFonts w:asciiTheme="minorHAnsi" w:eastAsia="Times New Roman" w:hAnsiTheme="minorHAnsi" w:cstheme="minorHAnsi"/>
                <w:color w:val="000000"/>
                <w:sz w:val="18"/>
                <w:szCs w:val="18"/>
                <w:lang w:val="en-CA"/>
              </w:rPr>
              <w:br/>
              <w:t xml:space="preserve">IT Systems Architect - 70 days; </w:t>
            </w:r>
            <w:r w:rsidRPr="00AC0422">
              <w:rPr>
                <w:rFonts w:asciiTheme="minorHAnsi" w:eastAsia="Times New Roman" w:hAnsiTheme="minorHAnsi" w:cstheme="minorHAnsi"/>
                <w:color w:val="000000"/>
                <w:sz w:val="18"/>
                <w:szCs w:val="18"/>
                <w:lang w:val="en-CA"/>
              </w:rPr>
              <w:br/>
              <w:t xml:space="preserve">Software Developer - 70 days; </w:t>
            </w:r>
            <w:r w:rsidRPr="00AC0422">
              <w:rPr>
                <w:rFonts w:asciiTheme="minorHAnsi" w:eastAsia="Times New Roman" w:hAnsiTheme="minorHAnsi" w:cstheme="minorHAnsi"/>
                <w:color w:val="000000"/>
                <w:sz w:val="18"/>
                <w:szCs w:val="18"/>
                <w:lang w:val="en-CA"/>
              </w:rPr>
              <w:br/>
              <w:t xml:space="preserve">Data Integration Specialist - 30 days; </w:t>
            </w:r>
            <w:r w:rsidRPr="00AC0422">
              <w:rPr>
                <w:rFonts w:asciiTheme="minorHAnsi" w:eastAsia="Times New Roman" w:hAnsiTheme="minorHAnsi" w:cstheme="minorHAnsi"/>
                <w:color w:val="000000"/>
                <w:sz w:val="18"/>
                <w:szCs w:val="18"/>
                <w:lang w:val="en-CA"/>
              </w:rPr>
              <w:br/>
              <w:t>Software Developer - 20 days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Output 3.2.2.</w:t>
            </w:r>
          </w:p>
        </w:tc>
      </w:tr>
      <w:tr w:rsidR="00B11A7E" w:rsidRPr="00AC0422" w14:paraId="5937FE40" w14:textId="77777777" w:rsidTr="00B11A7E">
        <w:trPr>
          <w:trHeight w:val="40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4943C036"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AA</w:t>
            </w:r>
          </w:p>
        </w:tc>
        <w:tc>
          <w:tcPr>
            <w:tcW w:w="11680" w:type="dxa"/>
            <w:tcBorders>
              <w:top w:val="nil"/>
              <w:left w:val="nil"/>
              <w:bottom w:val="single" w:sz="4" w:space="0" w:color="auto"/>
              <w:right w:val="single" w:sz="4" w:space="0" w:color="auto"/>
            </w:tcBorders>
            <w:shd w:val="clear" w:color="auto" w:fill="auto"/>
            <w:vAlign w:val="center"/>
            <w:hideMark/>
          </w:tcPr>
          <w:p w14:paraId="4731B6A0"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Local Experts @ $250 USD/day for a total of 885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Hydrologist - 60 days; </w:t>
            </w:r>
            <w:r w:rsidRPr="00AC0422">
              <w:rPr>
                <w:rFonts w:asciiTheme="minorHAnsi" w:eastAsia="Times New Roman" w:hAnsiTheme="minorHAnsi" w:cstheme="minorHAnsi"/>
                <w:color w:val="000000"/>
                <w:sz w:val="18"/>
                <w:szCs w:val="18"/>
                <w:lang w:val="en-CA"/>
              </w:rPr>
              <w:br/>
              <w:t xml:space="preserve">Meteorologist - 145 days; </w:t>
            </w:r>
            <w:r w:rsidRPr="00AC0422">
              <w:rPr>
                <w:rFonts w:asciiTheme="minorHAnsi" w:eastAsia="Times New Roman" w:hAnsiTheme="minorHAnsi" w:cstheme="minorHAnsi"/>
                <w:color w:val="000000"/>
                <w:sz w:val="18"/>
                <w:szCs w:val="18"/>
                <w:lang w:val="en-CA"/>
              </w:rPr>
              <w:br/>
              <w:t xml:space="preserve">Data Analyst - 120 days; </w:t>
            </w:r>
            <w:r w:rsidRPr="00AC0422">
              <w:rPr>
                <w:rFonts w:asciiTheme="minorHAnsi" w:eastAsia="Times New Roman" w:hAnsiTheme="minorHAnsi" w:cstheme="minorHAnsi"/>
                <w:color w:val="000000"/>
                <w:sz w:val="18"/>
                <w:szCs w:val="18"/>
                <w:lang w:val="en-CA"/>
              </w:rPr>
              <w:br/>
              <w:t xml:space="preserve">Facilitator - 20 days; </w:t>
            </w:r>
            <w:r w:rsidRPr="00AC0422">
              <w:rPr>
                <w:rFonts w:asciiTheme="minorHAnsi" w:eastAsia="Times New Roman" w:hAnsiTheme="minorHAnsi" w:cstheme="minorHAnsi"/>
                <w:color w:val="000000"/>
                <w:sz w:val="18"/>
                <w:szCs w:val="18"/>
                <w:lang w:val="en-CA"/>
              </w:rPr>
              <w:br/>
              <w:t xml:space="preserve">Stakeholder Engagement Specialist - 60 days; </w:t>
            </w:r>
            <w:r w:rsidRPr="00AC0422">
              <w:rPr>
                <w:rFonts w:asciiTheme="minorHAnsi" w:eastAsia="Times New Roman" w:hAnsiTheme="minorHAnsi" w:cstheme="minorHAnsi"/>
                <w:color w:val="000000"/>
                <w:sz w:val="18"/>
                <w:szCs w:val="18"/>
                <w:lang w:val="en-CA"/>
              </w:rPr>
              <w:br/>
              <w:t>GIS Analyst/</w:t>
            </w:r>
            <w:proofErr w:type="spellStart"/>
            <w:r w:rsidRPr="00AC0422">
              <w:rPr>
                <w:rFonts w:asciiTheme="minorHAnsi" w:eastAsia="Times New Roman" w:hAnsiTheme="minorHAnsi" w:cstheme="minorHAnsi"/>
                <w:color w:val="000000"/>
                <w:sz w:val="18"/>
                <w:szCs w:val="18"/>
                <w:lang w:val="en-CA"/>
              </w:rPr>
              <w:t>Speciaist</w:t>
            </w:r>
            <w:proofErr w:type="spellEnd"/>
            <w:r w:rsidRPr="00AC0422">
              <w:rPr>
                <w:rFonts w:asciiTheme="minorHAnsi" w:eastAsia="Times New Roman" w:hAnsiTheme="minorHAnsi" w:cstheme="minorHAnsi"/>
                <w:color w:val="000000"/>
                <w:sz w:val="18"/>
                <w:szCs w:val="18"/>
                <w:lang w:val="en-CA"/>
              </w:rPr>
              <w:t xml:space="preserve"> - 85 days; </w:t>
            </w:r>
            <w:r w:rsidRPr="00AC0422">
              <w:rPr>
                <w:rFonts w:asciiTheme="minorHAnsi" w:eastAsia="Times New Roman" w:hAnsiTheme="minorHAnsi" w:cstheme="minorHAnsi"/>
                <w:color w:val="000000"/>
                <w:sz w:val="18"/>
                <w:szCs w:val="18"/>
                <w:lang w:val="en-CA"/>
              </w:rPr>
              <w:br/>
              <w:t xml:space="preserve">Sectoral Experts (Water, Agriculture, Coastal Zones, Health) - 180 days; </w:t>
            </w:r>
            <w:r w:rsidRPr="00AC0422">
              <w:rPr>
                <w:rFonts w:asciiTheme="minorHAnsi" w:eastAsia="Times New Roman" w:hAnsiTheme="minorHAnsi" w:cstheme="minorHAnsi"/>
                <w:color w:val="000000"/>
                <w:sz w:val="18"/>
                <w:szCs w:val="18"/>
                <w:lang w:val="en-CA"/>
              </w:rPr>
              <w:br/>
              <w:t xml:space="preserve">Technical Writer - 30 days; </w:t>
            </w:r>
            <w:r w:rsidRPr="00AC0422">
              <w:rPr>
                <w:rFonts w:asciiTheme="minorHAnsi" w:eastAsia="Times New Roman" w:hAnsiTheme="minorHAnsi" w:cstheme="minorHAnsi"/>
                <w:color w:val="000000"/>
                <w:sz w:val="18"/>
                <w:szCs w:val="18"/>
                <w:lang w:val="en-CA"/>
              </w:rPr>
              <w:br/>
              <w:t xml:space="preserve">Climate Data Specialist - 25 days; </w:t>
            </w:r>
            <w:r w:rsidRPr="00AC0422">
              <w:rPr>
                <w:rFonts w:asciiTheme="minorHAnsi" w:eastAsia="Times New Roman" w:hAnsiTheme="minorHAnsi" w:cstheme="minorHAnsi"/>
                <w:color w:val="000000"/>
                <w:sz w:val="18"/>
                <w:szCs w:val="18"/>
                <w:lang w:val="en-CA"/>
              </w:rPr>
              <w:br/>
              <w:t xml:space="preserve">Monitoring and Evaluation (M&amp;E) Specialist - 50 days;  </w:t>
            </w:r>
            <w:r w:rsidRPr="00AC0422">
              <w:rPr>
                <w:rFonts w:asciiTheme="minorHAnsi" w:eastAsia="Times New Roman" w:hAnsiTheme="minorHAnsi" w:cstheme="minorHAnsi"/>
                <w:color w:val="000000"/>
                <w:sz w:val="18"/>
                <w:szCs w:val="18"/>
                <w:lang w:val="en-CA"/>
              </w:rPr>
              <w:br/>
              <w:t xml:space="preserve">Communication Specialist - 30 days; </w:t>
            </w:r>
            <w:r w:rsidRPr="00AC0422">
              <w:rPr>
                <w:rFonts w:asciiTheme="minorHAnsi" w:eastAsia="Times New Roman" w:hAnsiTheme="minorHAnsi" w:cstheme="minorHAnsi"/>
                <w:color w:val="000000"/>
                <w:sz w:val="18"/>
                <w:szCs w:val="18"/>
                <w:lang w:val="en-CA"/>
              </w:rPr>
              <w:br/>
              <w:t xml:space="preserve">Graphic Designer - 80 days; </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Output 3.2.2.</w:t>
            </w:r>
          </w:p>
        </w:tc>
      </w:tr>
      <w:tr w:rsidR="00B11A7E" w:rsidRPr="00AC0422" w14:paraId="68C64EAD" w14:textId="77777777" w:rsidTr="00B11A7E">
        <w:trPr>
          <w:trHeight w:val="5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5421CD31"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AB</w:t>
            </w:r>
          </w:p>
        </w:tc>
        <w:tc>
          <w:tcPr>
            <w:tcW w:w="11680" w:type="dxa"/>
            <w:tcBorders>
              <w:top w:val="nil"/>
              <w:left w:val="nil"/>
              <w:bottom w:val="single" w:sz="4" w:space="0" w:color="auto"/>
              <w:right w:val="single" w:sz="4" w:space="0" w:color="auto"/>
            </w:tcBorders>
            <w:shd w:val="clear" w:color="auto" w:fill="auto"/>
            <w:vAlign w:val="center"/>
            <w:hideMark/>
          </w:tcPr>
          <w:p w14:paraId="2FC9B8E1"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Workshops on climate projections downscaling. There will be 9 workshops at an estimate of $5000/workshop including the cost of venue and catering for the participants. Output 3.2.2.</w:t>
            </w:r>
          </w:p>
        </w:tc>
      </w:tr>
      <w:tr w:rsidR="00B11A7E" w:rsidRPr="00AC0422" w14:paraId="398072B3" w14:textId="77777777" w:rsidTr="00B11A7E">
        <w:trPr>
          <w:trHeight w:val="135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1AC532DE"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lastRenderedPageBreak/>
              <w:t>AC</w:t>
            </w:r>
          </w:p>
        </w:tc>
        <w:tc>
          <w:tcPr>
            <w:tcW w:w="11680" w:type="dxa"/>
            <w:tcBorders>
              <w:top w:val="nil"/>
              <w:left w:val="nil"/>
              <w:bottom w:val="single" w:sz="4" w:space="0" w:color="auto"/>
              <w:right w:val="single" w:sz="4" w:space="0" w:color="auto"/>
            </w:tcBorders>
            <w:shd w:val="clear" w:color="auto" w:fill="auto"/>
            <w:vAlign w:val="center"/>
            <w:hideMark/>
          </w:tcPr>
          <w:p w14:paraId="1A3D3755"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Procurement of data for climate projects downscaling (Licensing and acquisition of high-resolution GCM/RCM data, hydrological data, and satellite imagery. Example sources: Copernicus, ECMWF, commercial providers - $80,000; Preprocessing and cleaning data for compatibility with downscaling models. Includes data integration for climate and hydrological models - $30,000; Procurement or licensing of software such as WRF, PRECIS, or GIS tools for statistical or dynamic downscaling.- $20,000; Contingency Allowance for unforeseen costs during data procurement, processing, or training - $13,000. Output 3.2.2.</w:t>
            </w:r>
          </w:p>
        </w:tc>
      </w:tr>
      <w:tr w:rsidR="00B11A7E" w:rsidRPr="00AC0422" w14:paraId="4CC62040" w14:textId="77777777" w:rsidTr="00B11A7E">
        <w:trPr>
          <w:trHeight w:val="74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0FBD070F"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AD</w:t>
            </w:r>
          </w:p>
        </w:tc>
        <w:tc>
          <w:tcPr>
            <w:tcW w:w="11680" w:type="dxa"/>
            <w:tcBorders>
              <w:top w:val="nil"/>
              <w:left w:val="nil"/>
              <w:bottom w:val="single" w:sz="4" w:space="0" w:color="auto"/>
              <w:right w:val="single" w:sz="4" w:space="0" w:color="auto"/>
            </w:tcBorders>
            <w:shd w:val="clear" w:color="auto" w:fill="auto"/>
            <w:vAlign w:val="center"/>
            <w:hideMark/>
          </w:tcPr>
          <w:p w14:paraId="61C48F9B"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Procurement or licensing of software such as WRF, PRECIS, or GIS tools for statistical or dynamic downscaling - $20,000; Output 3.2.2.</w:t>
            </w:r>
          </w:p>
        </w:tc>
      </w:tr>
      <w:tr w:rsidR="00B11A7E" w:rsidRPr="00AC0422" w14:paraId="08D00346" w14:textId="77777777" w:rsidTr="00B11A7E">
        <w:trPr>
          <w:trHeight w:val="23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67D00326"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AE</w:t>
            </w:r>
          </w:p>
        </w:tc>
        <w:tc>
          <w:tcPr>
            <w:tcW w:w="11680" w:type="dxa"/>
            <w:tcBorders>
              <w:top w:val="nil"/>
              <w:left w:val="nil"/>
              <w:bottom w:val="single" w:sz="4" w:space="0" w:color="auto"/>
              <w:right w:val="single" w:sz="4" w:space="0" w:color="auto"/>
            </w:tcBorders>
            <w:shd w:val="clear" w:color="auto" w:fill="auto"/>
            <w:vAlign w:val="center"/>
            <w:hideMark/>
          </w:tcPr>
          <w:p w14:paraId="3215C915"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International Consultants @ $500 USD/day for a total of 200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Project Formulation Expert/Climate Adaptation Specialist/Climate Finance Specialist (Team Lead) - 30 days; </w:t>
            </w:r>
            <w:r w:rsidRPr="00AC0422">
              <w:rPr>
                <w:rFonts w:asciiTheme="minorHAnsi" w:eastAsia="Times New Roman" w:hAnsiTheme="minorHAnsi" w:cstheme="minorHAnsi"/>
                <w:color w:val="000000"/>
                <w:sz w:val="18"/>
                <w:szCs w:val="18"/>
                <w:lang w:val="en-CA"/>
              </w:rPr>
              <w:br/>
              <w:t xml:space="preserve">International Sectoral Experts (Water, agriculture, Coastal Zones, Health) - 120 days; </w:t>
            </w:r>
            <w:r w:rsidRPr="00AC0422">
              <w:rPr>
                <w:rFonts w:asciiTheme="minorHAnsi" w:eastAsia="Times New Roman" w:hAnsiTheme="minorHAnsi" w:cstheme="minorHAnsi"/>
                <w:color w:val="000000"/>
                <w:sz w:val="18"/>
                <w:szCs w:val="18"/>
                <w:lang w:val="en-CA"/>
              </w:rPr>
              <w:br/>
              <w:t xml:space="preserve">Socio-Economist/Analyst - 25 days; </w:t>
            </w:r>
            <w:r w:rsidRPr="00AC0422">
              <w:rPr>
                <w:rFonts w:asciiTheme="minorHAnsi" w:eastAsia="Times New Roman" w:hAnsiTheme="minorHAnsi" w:cstheme="minorHAnsi"/>
                <w:color w:val="000000"/>
                <w:sz w:val="18"/>
                <w:szCs w:val="18"/>
                <w:lang w:val="en-CA"/>
              </w:rPr>
              <w:br/>
              <w:t xml:space="preserve">Social and Environmental Impact/Safeguards Specialist - 25 days; </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Output 3.4.2</w:t>
            </w:r>
          </w:p>
        </w:tc>
      </w:tr>
      <w:tr w:rsidR="00B11A7E" w:rsidRPr="00AC0422" w14:paraId="1FDE0EB4" w14:textId="77777777" w:rsidTr="00B11A7E">
        <w:trPr>
          <w:trHeight w:val="30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2F1A4356"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AF</w:t>
            </w:r>
          </w:p>
        </w:tc>
        <w:tc>
          <w:tcPr>
            <w:tcW w:w="11680" w:type="dxa"/>
            <w:tcBorders>
              <w:top w:val="nil"/>
              <w:left w:val="nil"/>
              <w:bottom w:val="single" w:sz="4" w:space="0" w:color="auto"/>
              <w:right w:val="single" w:sz="4" w:space="0" w:color="auto"/>
            </w:tcBorders>
            <w:shd w:val="clear" w:color="auto" w:fill="auto"/>
            <w:vAlign w:val="center"/>
            <w:hideMark/>
          </w:tcPr>
          <w:p w14:paraId="1D9608D8"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Local Experts @ $200 USD/day for a total of 465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Sectoral Experts (Water, Agriculture, Coastal Zones, Health) - 240 days; </w:t>
            </w:r>
            <w:r w:rsidRPr="00AC0422">
              <w:rPr>
                <w:rFonts w:asciiTheme="minorHAnsi" w:eastAsia="Times New Roman" w:hAnsiTheme="minorHAnsi" w:cstheme="minorHAnsi"/>
                <w:color w:val="000000"/>
                <w:sz w:val="18"/>
                <w:szCs w:val="18"/>
                <w:lang w:val="en-CA"/>
              </w:rPr>
              <w:br/>
              <w:t xml:space="preserve">Policy and Governance Expert - 10 days; </w:t>
            </w:r>
            <w:r w:rsidRPr="00AC0422">
              <w:rPr>
                <w:rFonts w:asciiTheme="minorHAnsi" w:eastAsia="Times New Roman" w:hAnsiTheme="minorHAnsi" w:cstheme="minorHAnsi"/>
                <w:color w:val="000000"/>
                <w:sz w:val="18"/>
                <w:szCs w:val="18"/>
                <w:lang w:val="en-CA"/>
              </w:rPr>
              <w:br/>
              <w:t xml:space="preserve">Data Analyst - 45 days; </w:t>
            </w:r>
            <w:r w:rsidRPr="00AC0422">
              <w:rPr>
                <w:rFonts w:asciiTheme="minorHAnsi" w:eastAsia="Times New Roman" w:hAnsiTheme="minorHAnsi" w:cstheme="minorHAnsi"/>
                <w:color w:val="000000"/>
                <w:sz w:val="18"/>
                <w:szCs w:val="18"/>
                <w:lang w:val="en-CA"/>
              </w:rPr>
              <w:br/>
              <w:t xml:space="preserve">Gender and Social Inclusion Specialist - 45 days; </w:t>
            </w:r>
            <w:r w:rsidRPr="00AC0422">
              <w:rPr>
                <w:rFonts w:asciiTheme="minorHAnsi" w:eastAsia="Times New Roman" w:hAnsiTheme="minorHAnsi" w:cstheme="minorHAnsi"/>
                <w:color w:val="000000"/>
                <w:sz w:val="18"/>
                <w:szCs w:val="18"/>
                <w:lang w:val="en-CA"/>
              </w:rPr>
              <w:br/>
              <w:t xml:space="preserve">Monitoring and Evaluation (M&amp;E) Specialist - 10 days; </w:t>
            </w:r>
            <w:r w:rsidRPr="00AC0422">
              <w:rPr>
                <w:rFonts w:asciiTheme="minorHAnsi" w:eastAsia="Times New Roman" w:hAnsiTheme="minorHAnsi" w:cstheme="minorHAnsi"/>
                <w:color w:val="000000"/>
                <w:sz w:val="18"/>
                <w:szCs w:val="18"/>
                <w:lang w:val="en-CA"/>
              </w:rPr>
              <w:br/>
              <w:t xml:space="preserve">Stakeholder Engagement Specialist - 30 days; </w:t>
            </w:r>
            <w:r w:rsidRPr="00AC0422">
              <w:rPr>
                <w:rFonts w:asciiTheme="minorHAnsi" w:eastAsia="Times New Roman" w:hAnsiTheme="minorHAnsi" w:cstheme="minorHAnsi"/>
                <w:color w:val="000000"/>
                <w:sz w:val="18"/>
                <w:szCs w:val="18"/>
                <w:lang w:val="en-CA"/>
              </w:rPr>
              <w:br/>
              <w:t xml:space="preserve">Climate Risk Analyst - 30 days; GIS Specialist - 25 days; </w:t>
            </w:r>
            <w:r w:rsidRPr="00AC0422">
              <w:rPr>
                <w:rFonts w:asciiTheme="minorHAnsi" w:eastAsia="Times New Roman" w:hAnsiTheme="minorHAnsi" w:cstheme="minorHAnsi"/>
                <w:color w:val="000000"/>
                <w:sz w:val="18"/>
                <w:szCs w:val="18"/>
                <w:lang w:val="en-CA"/>
              </w:rPr>
              <w:br/>
              <w:t>Technical Writer - 30 days.</w:t>
            </w:r>
            <w:r w:rsidRPr="00AC0422">
              <w:rPr>
                <w:rFonts w:asciiTheme="minorHAnsi" w:eastAsia="Times New Roman" w:hAnsiTheme="minorHAnsi" w:cstheme="minorHAnsi"/>
                <w:color w:val="000000"/>
                <w:sz w:val="18"/>
                <w:szCs w:val="18"/>
                <w:lang w:val="en-CA"/>
              </w:rPr>
              <w:br/>
              <w:t>Output 3.4.2.</w:t>
            </w:r>
          </w:p>
        </w:tc>
      </w:tr>
      <w:tr w:rsidR="00B11A7E" w:rsidRPr="00AC0422" w14:paraId="4CD0F57E" w14:textId="77777777" w:rsidTr="00B11A7E">
        <w:trPr>
          <w:trHeight w:val="218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24E6C6C4"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AG</w:t>
            </w:r>
          </w:p>
        </w:tc>
        <w:tc>
          <w:tcPr>
            <w:tcW w:w="11680" w:type="dxa"/>
            <w:tcBorders>
              <w:top w:val="nil"/>
              <w:left w:val="nil"/>
              <w:bottom w:val="single" w:sz="4" w:space="0" w:color="auto"/>
              <w:right w:val="single" w:sz="4" w:space="0" w:color="auto"/>
            </w:tcBorders>
            <w:shd w:val="clear" w:color="auto" w:fill="auto"/>
            <w:vAlign w:val="center"/>
            <w:hideMark/>
          </w:tcPr>
          <w:p w14:paraId="44640998"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International Consultants @ $550 USD/day: </w:t>
            </w:r>
            <w:r w:rsidRPr="00AC0422">
              <w:rPr>
                <w:rFonts w:asciiTheme="minorHAnsi" w:eastAsia="Times New Roman" w:hAnsiTheme="minorHAnsi" w:cstheme="minorHAnsi"/>
                <w:color w:val="000000"/>
                <w:sz w:val="18"/>
                <w:szCs w:val="18"/>
                <w:lang w:val="en-CA"/>
              </w:rPr>
              <w:br/>
              <w:t xml:space="preserve">Climate Finance Specialist (Team Lead) - 144 days; </w:t>
            </w:r>
            <w:r w:rsidRPr="00AC0422">
              <w:rPr>
                <w:rFonts w:asciiTheme="minorHAnsi" w:eastAsia="Times New Roman" w:hAnsiTheme="minorHAnsi" w:cstheme="minorHAnsi"/>
                <w:color w:val="000000"/>
                <w:sz w:val="18"/>
                <w:szCs w:val="18"/>
                <w:lang w:val="en-CA"/>
              </w:rPr>
              <w:br/>
              <w:t xml:space="preserve">Economic Analyst - 55 days; </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Output 3.4.3</w:t>
            </w:r>
          </w:p>
        </w:tc>
      </w:tr>
      <w:tr w:rsidR="00B11A7E" w:rsidRPr="00AC0422" w14:paraId="03C2FBAB" w14:textId="77777777" w:rsidTr="00B11A7E">
        <w:trPr>
          <w:trHeight w:val="286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0766C47C"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lastRenderedPageBreak/>
              <w:t>AH</w:t>
            </w:r>
          </w:p>
        </w:tc>
        <w:tc>
          <w:tcPr>
            <w:tcW w:w="11680" w:type="dxa"/>
            <w:tcBorders>
              <w:top w:val="nil"/>
              <w:left w:val="nil"/>
              <w:bottom w:val="single" w:sz="4" w:space="0" w:color="auto"/>
              <w:right w:val="single" w:sz="4" w:space="0" w:color="auto"/>
            </w:tcBorders>
            <w:shd w:val="clear" w:color="auto" w:fill="auto"/>
            <w:vAlign w:val="center"/>
            <w:hideMark/>
          </w:tcPr>
          <w:p w14:paraId="0C8C7722" w14:textId="46716C39"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Local Experts @ $200 USD/day for a total of 3</w:t>
            </w:r>
            <w:r w:rsidR="00183D92">
              <w:rPr>
                <w:rFonts w:asciiTheme="minorHAnsi" w:eastAsia="Times New Roman" w:hAnsiTheme="minorHAnsi" w:cstheme="minorHAnsi"/>
                <w:color w:val="000000"/>
                <w:sz w:val="18"/>
                <w:szCs w:val="18"/>
                <w:lang w:val="en-CA"/>
              </w:rPr>
              <w:t>0</w:t>
            </w:r>
            <w:r w:rsidRPr="00AC0422">
              <w:rPr>
                <w:rFonts w:asciiTheme="minorHAnsi" w:eastAsia="Times New Roman" w:hAnsiTheme="minorHAnsi" w:cstheme="minorHAnsi"/>
                <w:color w:val="000000"/>
                <w:sz w:val="18"/>
                <w:szCs w:val="18"/>
                <w:lang w:val="en-CA"/>
              </w:rPr>
              <w:t>2 days. Broken down as follows:</w:t>
            </w:r>
            <w:r w:rsidRPr="00AC0422">
              <w:rPr>
                <w:rFonts w:asciiTheme="minorHAnsi" w:eastAsia="Times New Roman" w:hAnsiTheme="minorHAnsi" w:cstheme="minorHAnsi"/>
                <w:color w:val="000000"/>
                <w:sz w:val="18"/>
                <w:szCs w:val="18"/>
                <w:lang w:val="en-CA"/>
              </w:rPr>
              <w:br/>
            </w:r>
            <w:r w:rsidRPr="00AC0422">
              <w:rPr>
                <w:rFonts w:asciiTheme="minorHAnsi" w:eastAsia="Times New Roman" w:hAnsiTheme="minorHAnsi" w:cstheme="minorHAnsi"/>
                <w:color w:val="000000"/>
                <w:sz w:val="18"/>
                <w:szCs w:val="18"/>
                <w:lang w:val="en-CA"/>
              </w:rPr>
              <w:br/>
              <w:t xml:space="preserve">Stakeholder Engagement Specialist - </w:t>
            </w:r>
            <w:r w:rsidR="00183D92">
              <w:rPr>
                <w:rFonts w:asciiTheme="minorHAnsi" w:eastAsia="Times New Roman" w:hAnsiTheme="minorHAnsi" w:cstheme="minorHAnsi"/>
                <w:color w:val="000000"/>
                <w:sz w:val="18"/>
                <w:szCs w:val="18"/>
                <w:lang w:val="en-CA"/>
              </w:rPr>
              <w:t>8</w:t>
            </w:r>
            <w:r w:rsidRPr="00AC0422">
              <w:rPr>
                <w:rFonts w:asciiTheme="minorHAnsi" w:eastAsia="Times New Roman" w:hAnsiTheme="minorHAnsi" w:cstheme="minorHAnsi"/>
                <w:color w:val="000000"/>
                <w:sz w:val="18"/>
                <w:szCs w:val="18"/>
                <w:lang w:val="en-CA"/>
              </w:rPr>
              <w:t xml:space="preserve">7 days; </w:t>
            </w:r>
            <w:r w:rsidRPr="00AC0422">
              <w:rPr>
                <w:rFonts w:asciiTheme="minorHAnsi" w:eastAsia="Times New Roman" w:hAnsiTheme="minorHAnsi" w:cstheme="minorHAnsi"/>
                <w:color w:val="000000"/>
                <w:sz w:val="18"/>
                <w:szCs w:val="18"/>
                <w:lang w:val="en-CA"/>
              </w:rPr>
              <w:br/>
              <w:t xml:space="preserve">Policy and Governance Expert - </w:t>
            </w:r>
            <w:r w:rsidR="00183D92">
              <w:rPr>
                <w:rFonts w:asciiTheme="minorHAnsi" w:eastAsia="Times New Roman" w:hAnsiTheme="minorHAnsi" w:cstheme="minorHAnsi"/>
                <w:color w:val="000000"/>
                <w:sz w:val="18"/>
                <w:szCs w:val="18"/>
                <w:lang w:val="en-CA"/>
              </w:rPr>
              <w:t>4</w:t>
            </w:r>
            <w:r w:rsidRPr="00AC0422">
              <w:rPr>
                <w:rFonts w:asciiTheme="minorHAnsi" w:eastAsia="Times New Roman" w:hAnsiTheme="minorHAnsi" w:cstheme="minorHAnsi"/>
                <w:color w:val="000000"/>
                <w:sz w:val="18"/>
                <w:szCs w:val="18"/>
                <w:lang w:val="en-CA"/>
              </w:rPr>
              <w:t xml:space="preserve">5 days; </w:t>
            </w:r>
            <w:r w:rsidRPr="00AC0422">
              <w:rPr>
                <w:rFonts w:asciiTheme="minorHAnsi" w:eastAsia="Times New Roman" w:hAnsiTheme="minorHAnsi" w:cstheme="minorHAnsi"/>
                <w:color w:val="000000"/>
                <w:sz w:val="18"/>
                <w:szCs w:val="18"/>
                <w:lang w:val="en-CA"/>
              </w:rPr>
              <w:br/>
              <w:t xml:space="preserve">Communication Specialist - 27 days;  </w:t>
            </w:r>
            <w:r w:rsidRPr="00AC0422">
              <w:rPr>
                <w:rFonts w:asciiTheme="minorHAnsi" w:eastAsia="Times New Roman" w:hAnsiTheme="minorHAnsi" w:cstheme="minorHAnsi"/>
                <w:color w:val="000000"/>
                <w:sz w:val="18"/>
                <w:szCs w:val="18"/>
                <w:lang w:val="en-CA"/>
              </w:rPr>
              <w:br/>
              <w:t xml:space="preserve">Data Analyst - 25 days; </w:t>
            </w:r>
            <w:r w:rsidRPr="00AC0422">
              <w:rPr>
                <w:rFonts w:asciiTheme="minorHAnsi" w:eastAsia="Times New Roman" w:hAnsiTheme="minorHAnsi" w:cstheme="minorHAnsi"/>
                <w:color w:val="000000"/>
                <w:sz w:val="18"/>
                <w:szCs w:val="18"/>
                <w:lang w:val="en-CA"/>
              </w:rPr>
              <w:br/>
              <w:t xml:space="preserve">Facilitator - 23 days;  </w:t>
            </w:r>
            <w:r w:rsidRPr="00AC0422">
              <w:rPr>
                <w:rFonts w:asciiTheme="minorHAnsi" w:eastAsia="Times New Roman" w:hAnsiTheme="minorHAnsi" w:cstheme="minorHAnsi"/>
                <w:color w:val="000000"/>
                <w:sz w:val="18"/>
                <w:szCs w:val="18"/>
                <w:lang w:val="en-CA"/>
              </w:rPr>
              <w:br/>
              <w:t xml:space="preserve">Logistics Coordinator - 15 days; </w:t>
            </w:r>
            <w:r w:rsidRPr="00AC0422">
              <w:rPr>
                <w:rFonts w:asciiTheme="minorHAnsi" w:eastAsia="Times New Roman" w:hAnsiTheme="minorHAnsi" w:cstheme="minorHAnsi"/>
                <w:color w:val="000000"/>
                <w:sz w:val="18"/>
                <w:szCs w:val="18"/>
                <w:lang w:val="en-CA"/>
              </w:rPr>
              <w:br/>
              <w:t xml:space="preserve">Technical Writer - </w:t>
            </w:r>
            <w:r w:rsidR="00183D92">
              <w:rPr>
                <w:rFonts w:asciiTheme="minorHAnsi" w:eastAsia="Times New Roman" w:hAnsiTheme="minorHAnsi" w:cstheme="minorHAnsi"/>
                <w:color w:val="000000"/>
                <w:sz w:val="18"/>
                <w:szCs w:val="18"/>
                <w:lang w:val="en-CA"/>
              </w:rPr>
              <w:t>5</w:t>
            </w:r>
            <w:r w:rsidRPr="00AC0422">
              <w:rPr>
                <w:rFonts w:asciiTheme="minorHAnsi" w:eastAsia="Times New Roman" w:hAnsiTheme="minorHAnsi" w:cstheme="minorHAnsi"/>
                <w:color w:val="000000"/>
                <w:sz w:val="18"/>
                <w:szCs w:val="18"/>
                <w:lang w:val="en-CA"/>
              </w:rPr>
              <w:t xml:space="preserve">0 days; </w:t>
            </w:r>
            <w:r w:rsidRPr="00AC0422">
              <w:rPr>
                <w:rFonts w:asciiTheme="minorHAnsi" w:eastAsia="Times New Roman" w:hAnsiTheme="minorHAnsi" w:cstheme="minorHAnsi"/>
                <w:color w:val="000000"/>
                <w:sz w:val="18"/>
                <w:szCs w:val="18"/>
                <w:lang w:val="en-CA"/>
              </w:rPr>
              <w:br/>
              <w:t xml:space="preserve">Sectoral Experts (Water, Agriculture, Health) - </w:t>
            </w:r>
            <w:r w:rsidR="00183D92">
              <w:rPr>
                <w:rFonts w:asciiTheme="minorHAnsi" w:eastAsia="Times New Roman" w:hAnsiTheme="minorHAnsi" w:cstheme="minorHAnsi"/>
                <w:color w:val="000000"/>
                <w:sz w:val="18"/>
                <w:szCs w:val="18"/>
                <w:lang w:val="en-CA"/>
              </w:rPr>
              <w:t>3</w:t>
            </w:r>
            <w:r w:rsidRPr="00AC0422">
              <w:rPr>
                <w:rFonts w:asciiTheme="minorHAnsi" w:eastAsia="Times New Roman" w:hAnsiTheme="minorHAnsi" w:cstheme="minorHAnsi"/>
                <w:color w:val="000000"/>
                <w:sz w:val="18"/>
                <w:szCs w:val="18"/>
                <w:lang w:val="en-CA"/>
              </w:rPr>
              <w:t xml:space="preserve">0 days </w:t>
            </w:r>
            <w:r w:rsidRPr="00AC0422">
              <w:rPr>
                <w:rFonts w:asciiTheme="minorHAnsi" w:eastAsia="Times New Roman" w:hAnsiTheme="minorHAnsi" w:cstheme="minorHAnsi"/>
                <w:color w:val="000000"/>
                <w:sz w:val="18"/>
                <w:szCs w:val="18"/>
                <w:lang w:val="en-CA"/>
              </w:rPr>
              <w:br/>
              <w:t>Output 3.4.3</w:t>
            </w:r>
          </w:p>
        </w:tc>
      </w:tr>
      <w:tr w:rsidR="00B11A7E" w:rsidRPr="00AC0422" w14:paraId="6BA34F87" w14:textId="77777777" w:rsidTr="00B11A7E">
        <w:trPr>
          <w:trHeight w:val="52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6A3D77F4"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AI</w:t>
            </w:r>
          </w:p>
        </w:tc>
        <w:tc>
          <w:tcPr>
            <w:tcW w:w="11680" w:type="dxa"/>
            <w:tcBorders>
              <w:top w:val="nil"/>
              <w:left w:val="nil"/>
              <w:bottom w:val="single" w:sz="4" w:space="0" w:color="auto"/>
              <w:right w:val="single" w:sz="4" w:space="0" w:color="auto"/>
            </w:tcBorders>
            <w:shd w:val="clear" w:color="auto" w:fill="auto"/>
            <w:vAlign w:val="center"/>
            <w:hideMark/>
          </w:tcPr>
          <w:p w14:paraId="532FCB9E"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3 annual one-day workshops for the FWG to review potential funding sources to bridge the funding gaps identified. Each workshop is estimated to cost USD 5,000 totalling USD 15,000 including the cost of venue and catering for the participants. Output 3.4.3</w:t>
            </w:r>
          </w:p>
        </w:tc>
      </w:tr>
      <w:tr w:rsidR="00B11A7E" w:rsidRPr="00AC0422" w14:paraId="587B1C02" w14:textId="77777777" w:rsidTr="00B11A7E">
        <w:trPr>
          <w:trHeight w:val="1300"/>
        </w:trPr>
        <w:tc>
          <w:tcPr>
            <w:tcW w:w="1500" w:type="dxa"/>
            <w:tcBorders>
              <w:top w:val="nil"/>
              <w:left w:val="single" w:sz="4" w:space="0" w:color="auto"/>
              <w:bottom w:val="single" w:sz="4" w:space="0" w:color="auto"/>
              <w:right w:val="single" w:sz="4" w:space="0" w:color="auto"/>
            </w:tcBorders>
            <w:shd w:val="clear" w:color="000000" w:fill="FFFFFF"/>
            <w:vAlign w:val="center"/>
            <w:hideMark/>
          </w:tcPr>
          <w:p w14:paraId="732ED3CB"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AK </w:t>
            </w:r>
          </w:p>
        </w:tc>
        <w:tc>
          <w:tcPr>
            <w:tcW w:w="11680" w:type="dxa"/>
            <w:tcBorders>
              <w:top w:val="nil"/>
              <w:left w:val="nil"/>
              <w:bottom w:val="single" w:sz="4" w:space="0" w:color="auto"/>
              <w:right w:val="single" w:sz="4" w:space="0" w:color="auto"/>
            </w:tcBorders>
            <w:shd w:val="clear" w:color="auto" w:fill="auto"/>
            <w:vAlign w:val="center"/>
            <w:hideMark/>
          </w:tcPr>
          <w:p w14:paraId="66800635" w14:textId="437B4C2E"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a) Cost of a Project Manager @$2,500 per month for 48 months, totalling USD120,000</w:t>
            </w:r>
            <w:r w:rsidRPr="00AC0422">
              <w:rPr>
                <w:rFonts w:asciiTheme="minorHAnsi" w:eastAsia="Times New Roman" w:hAnsiTheme="minorHAnsi" w:cstheme="minorHAnsi"/>
                <w:color w:val="000000"/>
                <w:sz w:val="18"/>
                <w:szCs w:val="18"/>
                <w:lang w:val="en-CA"/>
              </w:rPr>
              <w:br/>
              <w:t>b) Cost of a Project Assistant @$700 per month for 48 months, totalling USD 33,600.</w:t>
            </w:r>
          </w:p>
        </w:tc>
      </w:tr>
      <w:tr w:rsidR="00B11A7E" w:rsidRPr="00AC0422" w14:paraId="12E0D790" w14:textId="77777777" w:rsidTr="00B11A7E">
        <w:trPr>
          <w:trHeight w:val="280"/>
        </w:trPr>
        <w:tc>
          <w:tcPr>
            <w:tcW w:w="1500" w:type="dxa"/>
            <w:tcBorders>
              <w:top w:val="nil"/>
              <w:left w:val="single" w:sz="4" w:space="0" w:color="auto"/>
              <w:bottom w:val="single" w:sz="4" w:space="0" w:color="auto"/>
              <w:right w:val="nil"/>
            </w:tcBorders>
            <w:shd w:val="clear" w:color="000000" w:fill="FFFFFF"/>
            <w:vAlign w:val="center"/>
            <w:hideMark/>
          </w:tcPr>
          <w:p w14:paraId="05EE6321"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AL </w:t>
            </w:r>
          </w:p>
        </w:tc>
        <w:tc>
          <w:tcPr>
            <w:tcW w:w="11680" w:type="dxa"/>
            <w:tcBorders>
              <w:top w:val="nil"/>
              <w:left w:val="single" w:sz="4" w:space="0" w:color="auto"/>
              <w:bottom w:val="single" w:sz="4" w:space="0" w:color="auto"/>
              <w:right w:val="single" w:sz="4" w:space="0" w:color="auto"/>
            </w:tcBorders>
            <w:shd w:val="clear" w:color="auto" w:fill="auto"/>
            <w:vAlign w:val="center"/>
            <w:hideMark/>
          </w:tcPr>
          <w:p w14:paraId="255D99C5"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Project audit will be conducted by external audit firm, hired competitively</w:t>
            </w:r>
          </w:p>
        </w:tc>
      </w:tr>
      <w:tr w:rsidR="00B11A7E" w:rsidRPr="00AC0422" w14:paraId="4F76A391" w14:textId="77777777" w:rsidTr="00B11A7E">
        <w:trPr>
          <w:trHeight w:val="520"/>
        </w:trPr>
        <w:tc>
          <w:tcPr>
            <w:tcW w:w="1500" w:type="dxa"/>
            <w:tcBorders>
              <w:top w:val="nil"/>
              <w:left w:val="single" w:sz="4" w:space="0" w:color="auto"/>
              <w:bottom w:val="single" w:sz="4" w:space="0" w:color="auto"/>
              <w:right w:val="nil"/>
            </w:tcBorders>
            <w:shd w:val="clear" w:color="000000" w:fill="FFFFFF"/>
            <w:vAlign w:val="center"/>
            <w:hideMark/>
          </w:tcPr>
          <w:p w14:paraId="56BA5D3E"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AM </w:t>
            </w:r>
          </w:p>
        </w:tc>
        <w:tc>
          <w:tcPr>
            <w:tcW w:w="11680" w:type="dxa"/>
            <w:tcBorders>
              <w:top w:val="nil"/>
              <w:left w:val="single" w:sz="4" w:space="0" w:color="auto"/>
              <w:bottom w:val="single" w:sz="4" w:space="0" w:color="auto"/>
              <w:right w:val="single" w:sz="4" w:space="0" w:color="auto"/>
            </w:tcBorders>
            <w:shd w:val="clear" w:color="auto" w:fill="auto"/>
            <w:vAlign w:val="center"/>
            <w:hideMark/>
          </w:tcPr>
          <w:p w14:paraId="4697FAA0"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Travel for project personnel to reach project sites for project management, monitoring and implementation - approx. 8 trips at USD250 per trip.</w:t>
            </w:r>
          </w:p>
        </w:tc>
      </w:tr>
      <w:tr w:rsidR="00B11A7E" w:rsidRPr="00AC0422" w14:paraId="0A326AF0" w14:textId="77777777" w:rsidTr="00B11A7E">
        <w:trPr>
          <w:trHeight w:val="520"/>
        </w:trPr>
        <w:tc>
          <w:tcPr>
            <w:tcW w:w="1500" w:type="dxa"/>
            <w:tcBorders>
              <w:top w:val="nil"/>
              <w:left w:val="single" w:sz="4" w:space="0" w:color="auto"/>
              <w:bottom w:val="single" w:sz="4" w:space="0" w:color="auto"/>
              <w:right w:val="nil"/>
            </w:tcBorders>
            <w:shd w:val="clear" w:color="000000" w:fill="FFFFFF"/>
            <w:vAlign w:val="center"/>
            <w:hideMark/>
          </w:tcPr>
          <w:p w14:paraId="156DCA8B"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AN </w:t>
            </w:r>
          </w:p>
        </w:tc>
        <w:tc>
          <w:tcPr>
            <w:tcW w:w="11680" w:type="dxa"/>
            <w:tcBorders>
              <w:top w:val="nil"/>
              <w:left w:val="single" w:sz="4" w:space="0" w:color="auto"/>
              <w:bottom w:val="single" w:sz="4" w:space="0" w:color="auto"/>
              <w:right w:val="single" w:sz="4" w:space="0" w:color="auto"/>
            </w:tcBorders>
            <w:shd w:val="clear" w:color="auto" w:fill="auto"/>
            <w:vAlign w:val="center"/>
            <w:hideMark/>
          </w:tcPr>
          <w:p w14:paraId="2FFFFA4F" w14:textId="7777777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Office supplies for the printing of documents for various project management activities, communications, monitoring and reporting documents and other informative documents for dissemination to key stakeholders, as appropriate. Budgeted at a lumpsum of USD500.</w:t>
            </w:r>
          </w:p>
        </w:tc>
      </w:tr>
      <w:tr w:rsidR="00B11A7E" w:rsidRPr="00AC0422" w14:paraId="7FFCE86C" w14:textId="77777777" w:rsidTr="00B11A7E">
        <w:trPr>
          <w:trHeight w:val="520"/>
        </w:trPr>
        <w:tc>
          <w:tcPr>
            <w:tcW w:w="1500" w:type="dxa"/>
            <w:tcBorders>
              <w:top w:val="nil"/>
              <w:left w:val="single" w:sz="4" w:space="0" w:color="auto"/>
              <w:bottom w:val="single" w:sz="4" w:space="0" w:color="auto"/>
              <w:right w:val="nil"/>
            </w:tcBorders>
            <w:shd w:val="clear" w:color="000000" w:fill="FFFFFF"/>
            <w:vAlign w:val="center"/>
            <w:hideMark/>
          </w:tcPr>
          <w:p w14:paraId="4B3D428B"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AO </w:t>
            </w:r>
          </w:p>
        </w:tc>
        <w:tc>
          <w:tcPr>
            <w:tcW w:w="11680" w:type="dxa"/>
            <w:tcBorders>
              <w:top w:val="nil"/>
              <w:left w:val="single" w:sz="4" w:space="0" w:color="auto"/>
              <w:bottom w:val="single" w:sz="4" w:space="0" w:color="auto"/>
              <w:right w:val="single" w:sz="4" w:space="0" w:color="auto"/>
            </w:tcBorders>
            <w:shd w:val="clear" w:color="auto" w:fill="auto"/>
            <w:vAlign w:val="center"/>
            <w:hideMark/>
          </w:tcPr>
          <w:p w14:paraId="082EA1AC" w14:textId="2267EE04"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Acquisition of laptops, software licenses, portable hard drive, printer etc. for the Project Manager and Assistant at a total of USD 4,000</w:t>
            </w:r>
          </w:p>
        </w:tc>
      </w:tr>
      <w:tr w:rsidR="00B11A7E" w:rsidRPr="00AC0422" w14:paraId="0BFB7712" w14:textId="77777777" w:rsidTr="00B11A7E">
        <w:trPr>
          <w:trHeight w:val="520"/>
        </w:trPr>
        <w:tc>
          <w:tcPr>
            <w:tcW w:w="1500" w:type="dxa"/>
            <w:tcBorders>
              <w:top w:val="nil"/>
              <w:left w:val="single" w:sz="4" w:space="0" w:color="auto"/>
              <w:bottom w:val="single" w:sz="4" w:space="0" w:color="auto"/>
              <w:right w:val="nil"/>
            </w:tcBorders>
            <w:shd w:val="clear" w:color="000000" w:fill="FFFFFF"/>
            <w:vAlign w:val="center"/>
            <w:hideMark/>
          </w:tcPr>
          <w:p w14:paraId="246D6621" w14:textId="77777777" w:rsidR="00B11A7E" w:rsidRPr="00AC0422" w:rsidRDefault="00B11A7E" w:rsidP="00B11A7E">
            <w:pPr>
              <w:spacing w:after="0"/>
              <w:jc w:val="center"/>
              <w:rPr>
                <w:rFonts w:asciiTheme="minorHAnsi" w:eastAsia="Times New Roman" w:hAnsiTheme="minorHAnsi" w:cstheme="minorHAnsi"/>
                <w:sz w:val="16"/>
                <w:szCs w:val="16"/>
                <w:lang w:val="en-CA"/>
              </w:rPr>
            </w:pPr>
            <w:r w:rsidRPr="00AC0422">
              <w:rPr>
                <w:rFonts w:asciiTheme="minorHAnsi" w:eastAsia="Times New Roman" w:hAnsiTheme="minorHAnsi" w:cstheme="minorHAnsi"/>
                <w:sz w:val="16"/>
                <w:szCs w:val="16"/>
                <w:lang w:val="en-CA"/>
              </w:rPr>
              <w:t xml:space="preserve"> AP </w:t>
            </w:r>
          </w:p>
        </w:tc>
        <w:tc>
          <w:tcPr>
            <w:tcW w:w="11680" w:type="dxa"/>
            <w:tcBorders>
              <w:top w:val="nil"/>
              <w:left w:val="single" w:sz="4" w:space="0" w:color="auto"/>
              <w:bottom w:val="single" w:sz="4" w:space="0" w:color="auto"/>
              <w:right w:val="single" w:sz="4" w:space="0" w:color="auto"/>
            </w:tcBorders>
            <w:shd w:val="clear" w:color="auto" w:fill="auto"/>
            <w:vAlign w:val="center"/>
            <w:hideMark/>
          </w:tcPr>
          <w:p w14:paraId="13F3D33D" w14:textId="6C2660D7" w:rsidR="00B11A7E" w:rsidRPr="00AC0422" w:rsidRDefault="00B11A7E" w:rsidP="00B11A7E">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Procurement support, recruitment, travel management, etc. 20,028 USD </w:t>
            </w:r>
            <w:proofErr w:type="spellStart"/>
            <w:r w:rsidRPr="00AC0422">
              <w:rPr>
                <w:rFonts w:asciiTheme="minorHAnsi" w:eastAsia="Times New Roman" w:hAnsiTheme="minorHAnsi" w:cstheme="minorHAnsi"/>
                <w:color w:val="000000"/>
                <w:sz w:val="18"/>
                <w:szCs w:val="18"/>
                <w:lang w:val="en-CA"/>
              </w:rPr>
              <w:t>USD</w:t>
            </w:r>
            <w:proofErr w:type="spellEnd"/>
            <w:r w:rsidRPr="00AC0422">
              <w:rPr>
                <w:rFonts w:asciiTheme="minorHAnsi" w:eastAsia="Times New Roman" w:hAnsiTheme="minorHAnsi" w:cstheme="minorHAnsi"/>
                <w:color w:val="000000"/>
                <w:sz w:val="18"/>
                <w:szCs w:val="18"/>
                <w:lang w:val="en-CA"/>
              </w:rPr>
              <w:t xml:space="preserve"> for 4 years. The direct services to project will be charged based on UNDP UPL</w:t>
            </w:r>
          </w:p>
        </w:tc>
      </w:tr>
    </w:tbl>
    <w:p w14:paraId="29F21295" w14:textId="5DEB8452" w:rsidR="00B11A7E" w:rsidRPr="00AC0422" w:rsidRDefault="00B11A7E" w:rsidP="00470E9A">
      <w:pPr>
        <w:spacing w:after="0"/>
        <w:jc w:val="left"/>
        <w:rPr>
          <w:rFonts w:asciiTheme="minorHAnsi" w:hAnsiTheme="minorHAnsi" w:cstheme="minorHAnsi"/>
          <w:szCs w:val="28"/>
        </w:rPr>
        <w:sectPr w:rsidR="00B11A7E" w:rsidRPr="00AC0422" w:rsidSect="00950B12">
          <w:pgSz w:w="15840" w:h="12240" w:orient="landscape" w:code="1"/>
          <w:pgMar w:top="720" w:right="720" w:bottom="720" w:left="720" w:header="720" w:footer="432" w:gutter="0"/>
          <w:cols w:space="708"/>
          <w:titlePg/>
          <w:docGrid w:linePitch="360"/>
        </w:sectPr>
      </w:pPr>
    </w:p>
    <w:p w14:paraId="08C86E3D" w14:textId="77777777" w:rsidR="003E3ABA" w:rsidRPr="00AC0422" w:rsidRDefault="003E3ABA" w:rsidP="003B2A79">
      <w:pPr>
        <w:pStyle w:val="Heading1"/>
        <w:spacing w:before="0" w:after="60"/>
        <w:rPr>
          <w:rFonts w:asciiTheme="minorHAnsi" w:hAnsiTheme="minorHAnsi" w:cstheme="minorHAnsi"/>
          <w:szCs w:val="28"/>
        </w:rPr>
      </w:pPr>
      <w:bookmarkStart w:id="38" w:name="_Toc40273943"/>
      <w:r w:rsidRPr="00AC0422">
        <w:rPr>
          <w:rFonts w:asciiTheme="minorHAnsi" w:hAnsiTheme="minorHAnsi" w:cstheme="minorHAnsi"/>
          <w:szCs w:val="28"/>
        </w:rPr>
        <w:lastRenderedPageBreak/>
        <w:t>Legal Context</w:t>
      </w:r>
      <w:bookmarkEnd w:id="38"/>
    </w:p>
    <w:p w14:paraId="575A63BF" w14:textId="6AD74FA7" w:rsidR="008B74FA" w:rsidRPr="00AC0422" w:rsidRDefault="008B74FA" w:rsidP="008B74FA">
      <w:pPr>
        <w:spacing w:after="120"/>
        <w:rPr>
          <w:rFonts w:asciiTheme="minorHAnsi" w:hAnsiTheme="minorHAnsi" w:cstheme="minorHAnsi"/>
          <w:szCs w:val="20"/>
        </w:rPr>
      </w:pPr>
      <w:r w:rsidRPr="00AC0422">
        <w:rPr>
          <w:rFonts w:asciiTheme="minorHAnsi" w:hAnsiTheme="minorHAnsi" w:cstheme="minorHAnsi"/>
          <w:szCs w:val="20"/>
        </w:rPr>
        <w:t xml:space="preserve">This project document shall be the instrument referred to as such in Article 1 of the </w:t>
      </w:r>
      <w:hyperlink r:id="rId54" w:history="1">
        <w:r w:rsidRPr="00AC0422">
          <w:rPr>
            <w:rStyle w:val="Hyperlink"/>
            <w:rFonts w:asciiTheme="minorHAnsi" w:hAnsiTheme="minorHAnsi" w:cstheme="minorHAnsi"/>
            <w:szCs w:val="20"/>
          </w:rPr>
          <w:t>Standard Basic Assistance Agreement</w:t>
        </w:r>
      </w:hyperlink>
      <w:r w:rsidRPr="00AC0422">
        <w:rPr>
          <w:rFonts w:asciiTheme="minorHAnsi" w:hAnsiTheme="minorHAnsi" w:cstheme="minorHAnsi"/>
          <w:szCs w:val="20"/>
        </w:rPr>
        <w:t xml:space="preserve"> between the Government of Burundi) and UNDP, signed on 20 November 1975.   All references in the SBAA to “Executing Agency” shall be deemed to refer to “Implementing Partner.”</w:t>
      </w:r>
    </w:p>
    <w:p w14:paraId="41B1814F" w14:textId="77777777" w:rsidR="008B74FA" w:rsidRPr="00AC0422" w:rsidRDefault="008B74FA" w:rsidP="008B74FA">
      <w:pPr>
        <w:spacing w:after="120"/>
        <w:rPr>
          <w:rFonts w:asciiTheme="minorHAnsi" w:hAnsiTheme="minorHAnsi" w:cstheme="minorHAnsi"/>
          <w:szCs w:val="20"/>
        </w:rPr>
      </w:pPr>
      <w:r w:rsidRPr="00AC0422">
        <w:rPr>
          <w:rFonts w:asciiTheme="minorHAnsi" w:hAnsiTheme="minorHAnsi" w:cstheme="minorHAnsi"/>
          <w:szCs w:val="20"/>
        </w:rPr>
        <w:t>This project will be implemented by UNDP (“Implementing Partner”) in accordance with its Financial Regulations and Rules, practices, procedures and financial governance to ensure best value for money, fairness, integrity, transparency, and effective international competition.</w:t>
      </w:r>
    </w:p>
    <w:p w14:paraId="51BA9541" w14:textId="77777777" w:rsidR="008B74FA" w:rsidRPr="00AC0422" w:rsidRDefault="008B74FA" w:rsidP="008B74FA">
      <w:pPr>
        <w:spacing w:after="120"/>
        <w:rPr>
          <w:rFonts w:asciiTheme="minorHAnsi" w:eastAsia="Times New Roman" w:hAnsiTheme="minorHAnsi" w:cstheme="minorHAnsi"/>
          <w:szCs w:val="22"/>
        </w:rPr>
      </w:pPr>
      <w:r w:rsidRPr="00AC0422">
        <w:rPr>
          <w:rFonts w:asciiTheme="minorHAnsi" w:eastAsia="Times New Roman" w:hAnsiTheme="minorHAnsi" w:cstheme="minorHAnsi"/>
          <w:iCs/>
          <w:color w:val="000000"/>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p>
    <w:p w14:paraId="5C73D054" w14:textId="77777777" w:rsidR="006C181C" w:rsidRPr="00AC0422" w:rsidRDefault="006C181C" w:rsidP="00450470">
      <w:pPr>
        <w:spacing w:after="0"/>
        <w:rPr>
          <w:rFonts w:asciiTheme="minorHAnsi" w:hAnsiTheme="minorHAnsi" w:cstheme="minorHAnsi"/>
          <w:szCs w:val="20"/>
        </w:rPr>
      </w:pPr>
    </w:p>
    <w:p w14:paraId="68BA7A4A" w14:textId="77777777" w:rsidR="00F62A77" w:rsidRPr="00AC0422" w:rsidRDefault="00F62A77" w:rsidP="00E223D9">
      <w:pPr>
        <w:jc w:val="left"/>
        <w:rPr>
          <w:rFonts w:asciiTheme="minorHAnsi" w:hAnsiTheme="minorHAnsi" w:cstheme="minorHAnsi"/>
          <w:szCs w:val="20"/>
        </w:rPr>
      </w:pPr>
    </w:p>
    <w:p w14:paraId="54F261AB" w14:textId="77777777" w:rsidR="00A94FFC" w:rsidRPr="00AC0422" w:rsidRDefault="00A94FFC" w:rsidP="00E223D9">
      <w:pPr>
        <w:pStyle w:val="Heading1"/>
        <w:spacing w:before="0" w:after="60"/>
        <w:jc w:val="left"/>
        <w:rPr>
          <w:rFonts w:asciiTheme="minorHAnsi" w:hAnsiTheme="minorHAnsi" w:cstheme="minorHAnsi"/>
          <w:szCs w:val="28"/>
        </w:rPr>
      </w:pPr>
      <w:bookmarkStart w:id="39" w:name="_Toc40273944"/>
      <w:r w:rsidRPr="00AC0422">
        <w:rPr>
          <w:rFonts w:asciiTheme="minorHAnsi" w:hAnsiTheme="minorHAnsi" w:cstheme="minorHAnsi"/>
          <w:szCs w:val="28"/>
        </w:rPr>
        <w:t>Risk Management</w:t>
      </w:r>
      <w:bookmarkEnd w:id="39"/>
    </w:p>
    <w:p w14:paraId="7199AF77" w14:textId="77777777" w:rsidR="00A94FFC" w:rsidRPr="00AC0422" w:rsidRDefault="00A94FFC" w:rsidP="00E223D9">
      <w:pPr>
        <w:jc w:val="left"/>
        <w:rPr>
          <w:rFonts w:asciiTheme="minorHAnsi" w:hAnsiTheme="minorHAnsi" w:cstheme="minorHAnsi"/>
          <w:szCs w:val="20"/>
        </w:rPr>
      </w:pPr>
    </w:p>
    <w:p w14:paraId="348EADDC" w14:textId="77777777" w:rsidR="008B74FA" w:rsidRPr="00AC0422" w:rsidRDefault="008B74FA" w:rsidP="008B74FA">
      <w:pPr>
        <w:rPr>
          <w:rFonts w:asciiTheme="minorHAnsi" w:hAnsiTheme="minorHAnsi" w:cstheme="minorHAnsi"/>
          <w:b/>
          <w:szCs w:val="20"/>
        </w:rPr>
      </w:pPr>
      <w:r w:rsidRPr="00AC0422">
        <w:rPr>
          <w:rFonts w:asciiTheme="minorHAnsi" w:hAnsiTheme="minorHAnsi" w:cstheme="minorHAnsi"/>
          <w:b/>
          <w:szCs w:val="20"/>
        </w:rPr>
        <w:t>UNDP (DIM)</w:t>
      </w:r>
    </w:p>
    <w:p w14:paraId="60B09554" w14:textId="77777777" w:rsidR="008B74FA" w:rsidRPr="00AC0422" w:rsidRDefault="008B74FA" w:rsidP="005D2C02">
      <w:pPr>
        <w:pStyle w:val="PlainText"/>
        <w:numPr>
          <w:ilvl w:val="0"/>
          <w:numId w:val="15"/>
        </w:numPr>
        <w:spacing w:after="120"/>
        <w:ind w:left="360"/>
        <w:jc w:val="both"/>
        <w:rPr>
          <w:rFonts w:asciiTheme="minorHAnsi" w:hAnsiTheme="minorHAnsi" w:cstheme="minorHAnsi"/>
          <w:sz w:val="20"/>
          <w:szCs w:val="20"/>
        </w:rPr>
      </w:pPr>
      <w:r w:rsidRPr="00AC0422">
        <w:rPr>
          <w:rFonts w:asciiTheme="minorHAnsi" w:hAnsiTheme="minorHAnsi" w:cstheme="minorHAnsi"/>
          <w:sz w:val="20"/>
          <w:szCs w:val="20"/>
        </w:rPr>
        <w:t>UNDP as the Implementing Partner will comply with the policies, procedures and practices of the United Nations Security Management System (UNSMS.)</w:t>
      </w:r>
    </w:p>
    <w:p w14:paraId="715DB17F" w14:textId="77777777" w:rsidR="008B74FA" w:rsidRPr="00AC0422" w:rsidRDefault="008B74FA" w:rsidP="005D2C02">
      <w:pPr>
        <w:pStyle w:val="PlainText"/>
        <w:numPr>
          <w:ilvl w:val="0"/>
          <w:numId w:val="15"/>
        </w:numPr>
        <w:spacing w:after="120"/>
        <w:ind w:left="360"/>
        <w:jc w:val="both"/>
        <w:rPr>
          <w:rFonts w:asciiTheme="minorHAnsi" w:hAnsiTheme="minorHAnsi" w:cstheme="minorHAnsi"/>
          <w:sz w:val="20"/>
          <w:szCs w:val="20"/>
        </w:rPr>
      </w:pPr>
      <w:r w:rsidRPr="00AC0422">
        <w:rPr>
          <w:rFonts w:asciiTheme="minorHAnsi" w:hAnsiTheme="minorHAnsi" w:cstheme="minorHAnsi"/>
          <w:sz w:val="20"/>
          <w:szCs w:val="20"/>
        </w:rPr>
        <w:t>UNDP as the Implementing Partner will undertake all reasonable efforts to ensure that none of the [project funds]</w:t>
      </w:r>
      <w:r w:rsidRPr="00AC0422">
        <w:rPr>
          <w:rStyle w:val="FootnoteReference"/>
          <w:rFonts w:asciiTheme="minorHAnsi" w:hAnsiTheme="minorHAnsi" w:cstheme="minorHAnsi"/>
          <w:sz w:val="20"/>
          <w:szCs w:val="20"/>
        </w:rPr>
        <w:footnoteReference w:id="24"/>
      </w:r>
      <w:r w:rsidRPr="00AC0422">
        <w:rPr>
          <w:rFonts w:asciiTheme="minorHAnsi" w:hAnsiTheme="minorHAnsi" w:cstheme="minorHAnsi"/>
          <w:sz w:val="20"/>
          <w:szCs w:val="20"/>
        </w:rPr>
        <w:t xml:space="preserve"> [UNDP funds received pursuant to the Project Document]</w:t>
      </w:r>
      <w:r w:rsidRPr="00AC0422">
        <w:rPr>
          <w:rStyle w:val="FootnoteReference"/>
          <w:rFonts w:asciiTheme="minorHAnsi" w:hAnsiTheme="minorHAnsi" w:cstheme="minorHAnsi"/>
          <w:sz w:val="20"/>
          <w:szCs w:val="20"/>
        </w:rPr>
        <w:footnoteReference w:id="25"/>
      </w:r>
      <w:r w:rsidRPr="00AC0422">
        <w:rPr>
          <w:rFonts w:asciiTheme="minorHAnsi" w:hAnsiTheme="minorHAnsi" w:cstheme="minorHAnsi"/>
          <w:sz w:val="24"/>
          <w:szCs w:val="24"/>
        </w:rPr>
        <w:t xml:space="preserve"> </w:t>
      </w:r>
      <w:r w:rsidRPr="00AC0422">
        <w:rPr>
          <w:rFonts w:asciiTheme="minorHAnsi" w:hAnsiTheme="minorHAnsi" w:cstheme="minorHAnsi"/>
          <w:sz w:val="20"/>
          <w:szCs w:val="20"/>
        </w:rPr>
        <w:t xml:space="preserve">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5" w:history="1">
        <w:r w:rsidRPr="00AC0422">
          <w:rPr>
            <w:rStyle w:val="Hyperlink"/>
            <w:rFonts w:asciiTheme="minorHAnsi" w:hAnsiTheme="minorHAnsi" w:cstheme="minorHAnsi"/>
            <w:sz w:val="20"/>
            <w:szCs w:val="20"/>
          </w:rPr>
          <w:t>http://www.un.org/sc/committees/1267/aq_sanctions_list.shtml</w:t>
        </w:r>
      </w:hyperlink>
      <w:r w:rsidRPr="00AC0422">
        <w:rPr>
          <w:rFonts w:asciiTheme="minorHAnsi" w:hAnsiTheme="minorHAnsi" w:cstheme="minorHAnsi"/>
          <w:color w:val="000080"/>
          <w:sz w:val="20"/>
          <w:szCs w:val="20"/>
        </w:rPr>
        <w:t xml:space="preserve">. </w:t>
      </w:r>
      <w:r w:rsidRPr="00AC0422">
        <w:rPr>
          <w:rFonts w:asciiTheme="minorHAnsi" w:hAnsiTheme="minorHAnsi" w:cstheme="minorHAnsi"/>
          <w:sz w:val="20"/>
          <w:szCs w:val="20"/>
        </w:rPr>
        <w:t xml:space="preserve"> This provision must be included in all sub-contracts or sub-agreements </w:t>
      </w:r>
      <w:proofErr w:type="gramStart"/>
      <w:r w:rsidRPr="00AC0422">
        <w:rPr>
          <w:rFonts w:asciiTheme="minorHAnsi" w:hAnsiTheme="minorHAnsi" w:cstheme="minorHAnsi"/>
          <w:sz w:val="20"/>
          <w:szCs w:val="20"/>
        </w:rPr>
        <w:t>entered into</w:t>
      </w:r>
      <w:proofErr w:type="gramEnd"/>
      <w:r w:rsidRPr="00AC0422">
        <w:rPr>
          <w:rFonts w:asciiTheme="minorHAnsi" w:hAnsiTheme="minorHAnsi" w:cstheme="minorHAnsi"/>
          <w:sz w:val="20"/>
          <w:szCs w:val="20"/>
        </w:rPr>
        <w:t xml:space="preserve"> under this Project Document.</w:t>
      </w:r>
    </w:p>
    <w:p w14:paraId="326F4A40" w14:textId="77777777" w:rsidR="008B74FA" w:rsidRPr="00AC0422" w:rsidRDefault="008B74FA" w:rsidP="005D2C02">
      <w:pPr>
        <w:pStyle w:val="ListParagraph"/>
        <w:numPr>
          <w:ilvl w:val="0"/>
          <w:numId w:val="15"/>
        </w:numPr>
        <w:spacing w:after="120"/>
        <w:ind w:left="360"/>
        <w:jc w:val="both"/>
        <w:rPr>
          <w:rFonts w:asciiTheme="minorHAnsi" w:hAnsiTheme="minorHAnsi" w:cstheme="minorHAnsi"/>
          <w:sz w:val="20"/>
          <w:szCs w:val="20"/>
          <w:u w:val="single"/>
        </w:rPr>
      </w:pPr>
      <w:r w:rsidRPr="00AC0422">
        <w:rPr>
          <w:rFonts w:asciiTheme="minorHAnsi" w:hAnsiTheme="minorHAnsi" w:cstheme="minorHAnsi"/>
          <w:sz w:val="20"/>
          <w:szCs w:val="20"/>
        </w:rPr>
        <w:t xml:space="preserve">Social and environmental sustainability will be enhanced through application of the UNDP Social and Environmental Standards (http://www.undp.org/ses) and related Accountability Mechanism (http://www.undp.org/secu-srm).  </w:t>
      </w:r>
      <w:r w:rsidRPr="00AC0422">
        <w:rPr>
          <w:rFonts w:asciiTheme="minorHAnsi" w:hAnsiTheme="minorHAnsi" w:cstheme="minorHAnsi"/>
          <w:color w:val="000000"/>
          <w:sz w:val="20"/>
          <w:szCs w:val="20"/>
        </w:rPr>
        <w:t> </w:t>
      </w:r>
    </w:p>
    <w:p w14:paraId="72804F7D" w14:textId="77777777" w:rsidR="008B74FA" w:rsidRPr="00AC0422" w:rsidRDefault="008B74FA" w:rsidP="005D2C02">
      <w:pPr>
        <w:pStyle w:val="Default"/>
        <w:numPr>
          <w:ilvl w:val="0"/>
          <w:numId w:val="15"/>
        </w:numPr>
        <w:spacing w:after="120"/>
        <w:ind w:left="360"/>
        <w:jc w:val="both"/>
        <w:rPr>
          <w:rFonts w:asciiTheme="minorHAnsi" w:eastAsia="Calibri" w:hAnsiTheme="minorHAnsi" w:cstheme="minorHAnsi"/>
          <w:color w:val="auto"/>
          <w:sz w:val="20"/>
          <w:szCs w:val="20"/>
          <w:lang w:eastAsia="en-US"/>
        </w:rPr>
      </w:pPr>
      <w:r w:rsidRPr="00AC0422">
        <w:rPr>
          <w:rFonts w:asciiTheme="minorHAnsi" w:eastAsia="Calibri" w:hAnsiTheme="minorHAnsi" w:cstheme="minorHAnsi"/>
          <w:color w:val="auto"/>
          <w:sz w:val="20"/>
          <w:szCs w:val="20"/>
          <w:lang w:eastAsia="en-US"/>
        </w:rPr>
        <w:t xml:space="preserve">UNDP as the Implementing Partner will: (a) conduct project and </w:t>
      </w:r>
      <w:proofErr w:type="spellStart"/>
      <w:r w:rsidRPr="00AC0422">
        <w:rPr>
          <w:rFonts w:asciiTheme="minorHAnsi" w:eastAsia="Calibri" w:hAnsiTheme="minorHAnsi" w:cstheme="minorHAnsi"/>
          <w:color w:val="auto"/>
          <w:sz w:val="20"/>
          <w:szCs w:val="20"/>
          <w:lang w:eastAsia="en-US"/>
        </w:rPr>
        <w:t>programme</w:t>
      </w:r>
      <w:proofErr w:type="spellEnd"/>
      <w:r w:rsidRPr="00AC0422">
        <w:rPr>
          <w:rFonts w:asciiTheme="minorHAnsi" w:eastAsia="Calibri" w:hAnsiTheme="minorHAnsi" w:cstheme="minorHAnsi"/>
          <w:color w:val="auto"/>
          <w:sz w:val="20"/>
          <w:szCs w:val="20"/>
          <w:lang w:eastAsia="en-US"/>
        </w:rPr>
        <w:t xml:space="preserve">-related activities in a manner consistent with the UNDP Social and Environmental Standards, (b) implement any management or mitigation plan prepared for the project or </w:t>
      </w:r>
      <w:proofErr w:type="spellStart"/>
      <w:r w:rsidRPr="00AC0422">
        <w:rPr>
          <w:rFonts w:asciiTheme="minorHAnsi" w:eastAsia="Calibri" w:hAnsiTheme="minorHAnsi" w:cstheme="minorHAnsi"/>
          <w:color w:val="auto"/>
          <w:sz w:val="20"/>
          <w:szCs w:val="20"/>
          <w:lang w:eastAsia="en-US"/>
        </w:rPr>
        <w:t>programme</w:t>
      </w:r>
      <w:proofErr w:type="spellEnd"/>
      <w:r w:rsidRPr="00AC0422">
        <w:rPr>
          <w:rFonts w:asciiTheme="minorHAnsi" w:eastAsia="Calibri" w:hAnsiTheme="minorHAnsi" w:cstheme="minorHAnsi"/>
          <w:color w:val="auto"/>
          <w:sz w:val="20"/>
          <w:szCs w:val="20"/>
          <w:lang w:eastAsia="en-US"/>
        </w:rP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3F76713C" w14:textId="77777777" w:rsidR="008B74FA" w:rsidRPr="00AC0422" w:rsidRDefault="008B74FA" w:rsidP="005D2C02">
      <w:pPr>
        <w:pStyle w:val="Default"/>
        <w:numPr>
          <w:ilvl w:val="0"/>
          <w:numId w:val="15"/>
        </w:numPr>
        <w:spacing w:after="120"/>
        <w:ind w:left="360"/>
        <w:jc w:val="both"/>
        <w:rPr>
          <w:rFonts w:asciiTheme="minorHAnsi" w:hAnsiTheme="minorHAnsi" w:cstheme="minorHAnsi"/>
          <w:sz w:val="20"/>
          <w:szCs w:val="20"/>
        </w:rPr>
      </w:pPr>
      <w:r w:rsidRPr="00AC0422">
        <w:rPr>
          <w:rFonts w:asciiTheme="minorHAnsi" w:hAnsiTheme="minorHAnsi" w:cstheme="minorHAnsi"/>
          <w:sz w:val="20"/>
          <w:szCs w:val="20"/>
        </w:rPr>
        <w:t>In the implementation of the activities under this Project Document, UNDP as the Implementing Partner will handle any sexual exploitation and abuse (“SEA”) and sexual harassment (“SH”) allegations in accordance with its regulations, rules, policies and procedures.</w:t>
      </w:r>
    </w:p>
    <w:p w14:paraId="3DE2EA55" w14:textId="77777777" w:rsidR="008B74FA" w:rsidRPr="00AC0422" w:rsidRDefault="008B74FA" w:rsidP="005D2C02">
      <w:pPr>
        <w:pStyle w:val="ListParagraph"/>
        <w:numPr>
          <w:ilvl w:val="0"/>
          <w:numId w:val="15"/>
        </w:numPr>
        <w:spacing w:after="120"/>
        <w:ind w:left="360"/>
        <w:jc w:val="both"/>
        <w:rPr>
          <w:rFonts w:asciiTheme="minorHAnsi" w:hAnsiTheme="minorHAnsi" w:cstheme="minorHAnsi"/>
          <w:spacing w:val="-4"/>
          <w:sz w:val="20"/>
          <w:szCs w:val="20"/>
        </w:rPr>
      </w:pPr>
      <w:r w:rsidRPr="00AC0422">
        <w:rPr>
          <w:rFonts w:asciiTheme="minorHAnsi" w:hAnsiTheme="minorHAnsi" w:cstheme="minorHAnsi"/>
          <w:spacing w:val="-4"/>
          <w:sz w:val="20"/>
          <w:szCs w:val="20"/>
        </w:rPr>
        <w:t xml:space="preserve">All signatories to the Project Document shall cooperate in good faith with any exercise to evaluate any </w:t>
      </w:r>
      <w:proofErr w:type="spellStart"/>
      <w:r w:rsidRPr="00AC0422">
        <w:rPr>
          <w:rFonts w:asciiTheme="minorHAnsi" w:hAnsiTheme="minorHAnsi" w:cstheme="minorHAnsi"/>
          <w:spacing w:val="-4"/>
          <w:sz w:val="20"/>
          <w:szCs w:val="20"/>
        </w:rPr>
        <w:t>programme</w:t>
      </w:r>
      <w:proofErr w:type="spellEnd"/>
      <w:r w:rsidRPr="00AC0422">
        <w:rPr>
          <w:rFonts w:asciiTheme="minorHAnsi" w:hAnsiTheme="minorHAnsi" w:cstheme="minorHAnsi"/>
          <w:spacing w:val="-4"/>
          <w:sz w:val="20"/>
          <w:szCs w:val="20"/>
        </w:rPr>
        <w:t xml:space="preserve"> or project-related commitments or compliance with the UNDP Social and Environmental Standards. This includes providing access to project sites, relevant personnel, information, and documentation.</w:t>
      </w:r>
    </w:p>
    <w:p w14:paraId="4544890F" w14:textId="77777777" w:rsidR="008B74FA" w:rsidRPr="00AC0422" w:rsidRDefault="008B74FA" w:rsidP="005D2C02">
      <w:pPr>
        <w:numPr>
          <w:ilvl w:val="0"/>
          <w:numId w:val="15"/>
        </w:numPr>
        <w:autoSpaceDE w:val="0"/>
        <w:autoSpaceDN w:val="0"/>
        <w:adjustRightInd w:val="0"/>
        <w:spacing w:after="120"/>
        <w:ind w:left="360"/>
        <w:rPr>
          <w:rFonts w:asciiTheme="minorHAnsi" w:eastAsia="Calibri" w:hAnsiTheme="minorHAnsi" w:cstheme="minorHAnsi"/>
          <w:color w:val="000000"/>
          <w:szCs w:val="20"/>
        </w:rPr>
      </w:pPr>
      <w:r w:rsidRPr="00AC0422">
        <w:rPr>
          <w:rFonts w:asciiTheme="minorHAnsi" w:eastAsia="Calibri" w:hAnsiTheme="minorHAnsi" w:cstheme="minorHAnsi"/>
          <w:color w:val="000000"/>
          <w:szCs w:val="20"/>
        </w:rPr>
        <w:t xml:space="preserve">UNDP as the Implementing Partner will ensure that </w:t>
      </w:r>
      <w:r w:rsidRPr="00AC0422">
        <w:rPr>
          <w:rFonts w:asciiTheme="minorHAnsi" w:hAnsiTheme="minorHAnsi" w:cstheme="minorHAnsi"/>
          <w:szCs w:val="20"/>
        </w:rPr>
        <w:t>the following obligations are binding on each responsible party, subcontractor and sub-recipient:</w:t>
      </w:r>
    </w:p>
    <w:p w14:paraId="714AD78B" w14:textId="77777777" w:rsidR="008B74FA" w:rsidRPr="00AC0422" w:rsidRDefault="008B74FA" w:rsidP="005D2C02">
      <w:pPr>
        <w:numPr>
          <w:ilvl w:val="1"/>
          <w:numId w:val="15"/>
        </w:numPr>
        <w:autoSpaceDE w:val="0"/>
        <w:autoSpaceDN w:val="0"/>
        <w:adjustRightInd w:val="0"/>
        <w:spacing w:after="120"/>
        <w:rPr>
          <w:rFonts w:asciiTheme="minorHAnsi" w:hAnsiTheme="minorHAnsi" w:cstheme="minorHAnsi"/>
          <w:szCs w:val="20"/>
        </w:rPr>
      </w:pPr>
      <w:r w:rsidRPr="00AC0422">
        <w:rPr>
          <w:rFonts w:asciiTheme="minorHAnsi" w:hAnsiTheme="minorHAnsi" w:cstheme="minorHAnsi"/>
          <w:szCs w:val="20"/>
        </w:rPr>
        <w:lastRenderedPageBreak/>
        <w:t xml:space="preserve">Consistent with the Article III of the SBAA </w:t>
      </w:r>
      <w:r w:rsidRPr="00AC0422">
        <w:rPr>
          <w:rFonts w:asciiTheme="minorHAnsi" w:hAnsiTheme="minorHAnsi" w:cstheme="minorHAnsi"/>
          <w:i/>
          <w:szCs w:val="20"/>
        </w:rPr>
        <w:t>[or the Supplemental Provisions to the Project Document]</w:t>
      </w:r>
      <w:r w:rsidRPr="00AC0422">
        <w:rPr>
          <w:rFonts w:asciiTheme="minorHAnsi" w:hAnsiTheme="minorHAnsi" w:cstheme="minorHAnsi"/>
          <w:szCs w:val="20"/>
        </w:rPr>
        <w:t>, the responsibility for the safety and security of each responsible party, subcontractor and sub-recipient</w:t>
      </w:r>
      <w:r w:rsidRPr="00AC0422">
        <w:rPr>
          <w:rFonts w:asciiTheme="minorHAnsi" w:eastAsia="Calibri" w:hAnsiTheme="minorHAnsi" w:cstheme="minorHAnsi"/>
          <w:color w:val="000000"/>
          <w:szCs w:val="20"/>
        </w:rPr>
        <w:t xml:space="preserve"> </w:t>
      </w:r>
      <w:r w:rsidRPr="00AC0422">
        <w:rPr>
          <w:rFonts w:asciiTheme="minorHAnsi" w:hAnsiTheme="minorHAnsi" w:cstheme="minorHAnsi"/>
          <w:szCs w:val="20"/>
        </w:rPr>
        <w:t xml:space="preserve">and its personnel and property, and of UNDP’s property in such responsible </w:t>
      </w:r>
      <w:proofErr w:type="spellStart"/>
      <w:r w:rsidRPr="00AC0422">
        <w:rPr>
          <w:rFonts w:asciiTheme="minorHAnsi" w:hAnsiTheme="minorHAnsi" w:cstheme="minorHAnsi"/>
          <w:szCs w:val="20"/>
        </w:rPr>
        <w:t>party’s</w:t>
      </w:r>
      <w:proofErr w:type="spellEnd"/>
      <w:r w:rsidRPr="00AC0422">
        <w:rPr>
          <w:rFonts w:asciiTheme="minorHAnsi" w:hAnsiTheme="minorHAnsi" w:cstheme="minorHAnsi"/>
          <w:szCs w:val="20"/>
        </w:rPr>
        <w:t>, subcontractor’s and sub-recipient’s custody, rests with such responsible party, subcontractor and sub-recipient.  To this end, each responsible party, subcontractor and sub-recipient</w:t>
      </w:r>
      <w:r w:rsidRPr="00AC0422">
        <w:rPr>
          <w:rFonts w:asciiTheme="minorHAnsi" w:eastAsia="Calibri" w:hAnsiTheme="minorHAnsi" w:cstheme="minorHAnsi"/>
          <w:color w:val="000000"/>
          <w:szCs w:val="20"/>
        </w:rPr>
        <w:t xml:space="preserve"> </w:t>
      </w:r>
      <w:r w:rsidRPr="00AC0422">
        <w:rPr>
          <w:rFonts w:asciiTheme="minorHAnsi" w:hAnsiTheme="minorHAnsi" w:cstheme="minorHAnsi"/>
          <w:szCs w:val="20"/>
        </w:rPr>
        <w:t>shall:</w:t>
      </w:r>
    </w:p>
    <w:p w14:paraId="5F3BDA31" w14:textId="77777777" w:rsidR="008B74FA" w:rsidRPr="00AC0422" w:rsidRDefault="008B74FA" w:rsidP="005D2C02">
      <w:pPr>
        <w:numPr>
          <w:ilvl w:val="2"/>
          <w:numId w:val="15"/>
        </w:numPr>
        <w:spacing w:after="120"/>
        <w:rPr>
          <w:rFonts w:asciiTheme="minorHAnsi" w:hAnsiTheme="minorHAnsi" w:cstheme="minorHAnsi"/>
          <w:szCs w:val="20"/>
        </w:rPr>
      </w:pPr>
      <w:r w:rsidRPr="00AC0422">
        <w:rPr>
          <w:rFonts w:asciiTheme="minorHAnsi" w:hAnsiTheme="minorHAnsi" w:cstheme="minorHAnsi"/>
          <w:szCs w:val="20"/>
        </w:rPr>
        <w:t xml:space="preserve">put in place an appropriate security plan and maintain the security plan, </w:t>
      </w:r>
      <w:proofErr w:type="gramStart"/>
      <w:r w:rsidRPr="00AC0422">
        <w:rPr>
          <w:rFonts w:asciiTheme="minorHAnsi" w:hAnsiTheme="minorHAnsi" w:cstheme="minorHAnsi"/>
          <w:szCs w:val="20"/>
        </w:rPr>
        <w:t>taking into account</w:t>
      </w:r>
      <w:proofErr w:type="gramEnd"/>
      <w:r w:rsidRPr="00AC0422">
        <w:rPr>
          <w:rFonts w:asciiTheme="minorHAnsi" w:hAnsiTheme="minorHAnsi" w:cstheme="minorHAnsi"/>
          <w:szCs w:val="20"/>
        </w:rPr>
        <w:t xml:space="preserve"> the security situation in the country where the project is being </w:t>
      </w:r>
      <w:proofErr w:type="gramStart"/>
      <w:r w:rsidRPr="00AC0422">
        <w:rPr>
          <w:rFonts w:asciiTheme="minorHAnsi" w:hAnsiTheme="minorHAnsi" w:cstheme="minorHAnsi"/>
          <w:szCs w:val="20"/>
        </w:rPr>
        <w:t>carried;</w:t>
      </w:r>
      <w:proofErr w:type="gramEnd"/>
    </w:p>
    <w:p w14:paraId="162E7CD2" w14:textId="77777777" w:rsidR="008B74FA" w:rsidRPr="00AC0422" w:rsidRDefault="008B74FA" w:rsidP="005D2C02">
      <w:pPr>
        <w:numPr>
          <w:ilvl w:val="2"/>
          <w:numId w:val="15"/>
        </w:numPr>
        <w:spacing w:after="120"/>
        <w:rPr>
          <w:rFonts w:asciiTheme="minorHAnsi" w:hAnsiTheme="minorHAnsi" w:cstheme="minorHAnsi"/>
          <w:szCs w:val="20"/>
        </w:rPr>
      </w:pPr>
      <w:r w:rsidRPr="00AC0422">
        <w:rPr>
          <w:rFonts w:asciiTheme="minorHAnsi" w:hAnsiTheme="minorHAnsi" w:cstheme="minorHAnsi"/>
          <w:szCs w:val="20"/>
        </w:rPr>
        <w:t xml:space="preserve">assume all risks and liabilities related to such responsible </w:t>
      </w:r>
      <w:proofErr w:type="spellStart"/>
      <w:r w:rsidRPr="00AC0422">
        <w:rPr>
          <w:rFonts w:asciiTheme="minorHAnsi" w:hAnsiTheme="minorHAnsi" w:cstheme="minorHAnsi"/>
          <w:szCs w:val="20"/>
        </w:rPr>
        <w:t>party’s</w:t>
      </w:r>
      <w:proofErr w:type="spellEnd"/>
      <w:r w:rsidRPr="00AC0422">
        <w:rPr>
          <w:rFonts w:asciiTheme="minorHAnsi" w:hAnsiTheme="minorHAnsi" w:cstheme="minorHAnsi"/>
          <w:szCs w:val="20"/>
        </w:rPr>
        <w:t>, subcontractor’s and sub-recipient’s security, and the full implementation of the security plan.</w:t>
      </w:r>
    </w:p>
    <w:p w14:paraId="107730CD" w14:textId="77777777" w:rsidR="008B74FA" w:rsidRPr="00AC0422" w:rsidRDefault="008B74FA" w:rsidP="005D2C02">
      <w:pPr>
        <w:numPr>
          <w:ilvl w:val="1"/>
          <w:numId w:val="15"/>
        </w:numPr>
        <w:autoSpaceDE w:val="0"/>
        <w:autoSpaceDN w:val="0"/>
        <w:adjustRightInd w:val="0"/>
        <w:spacing w:after="120"/>
        <w:rPr>
          <w:rFonts w:asciiTheme="minorHAnsi" w:hAnsiTheme="minorHAnsi" w:cstheme="minorHAnsi"/>
          <w:szCs w:val="20"/>
        </w:rPr>
      </w:pPr>
      <w:r w:rsidRPr="00AC0422">
        <w:rPr>
          <w:rFonts w:asciiTheme="minorHAnsi" w:hAnsiTheme="minorHAnsi" w:cstheme="minorHAnsi"/>
          <w:szCs w:val="20"/>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AC0422">
        <w:rPr>
          <w:rFonts w:asciiTheme="minorHAnsi" w:hAnsiTheme="minorHAnsi" w:cstheme="minorHAnsi"/>
          <w:szCs w:val="20"/>
        </w:rPr>
        <w:t>party’s</w:t>
      </w:r>
      <w:proofErr w:type="spellEnd"/>
      <w:r w:rsidRPr="00AC0422">
        <w:rPr>
          <w:rFonts w:asciiTheme="minorHAnsi" w:hAnsiTheme="minorHAnsi" w:cstheme="minorHAnsi"/>
          <w:szCs w:val="20"/>
        </w:rPr>
        <w:t>, subcontractor’s and sub-recipient’s obligations under this Project Document.</w:t>
      </w:r>
    </w:p>
    <w:p w14:paraId="4797D7E7" w14:textId="77777777" w:rsidR="008B74FA" w:rsidRPr="00AC0422" w:rsidRDefault="008B74FA" w:rsidP="005D2C02">
      <w:pPr>
        <w:numPr>
          <w:ilvl w:val="1"/>
          <w:numId w:val="15"/>
        </w:numPr>
        <w:autoSpaceDE w:val="0"/>
        <w:autoSpaceDN w:val="0"/>
        <w:adjustRightInd w:val="0"/>
        <w:spacing w:after="120"/>
        <w:rPr>
          <w:rFonts w:asciiTheme="minorHAnsi" w:hAnsiTheme="minorHAnsi" w:cstheme="minorHAnsi"/>
          <w:szCs w:val="20"/>
        </w:rPr>
      </w:pPr>
      <w:r w:rsidRPr="00AC0422">
        <w:rPr>
          <w:rFonts w:asciiTheme="minorHAnsi" w:hAnsiTheme="minorHAnsi" w:cstheme="minorHAnsi"/>
          <w:szCs w:val="20"/>
        </w:rPr>
        <w:t>In the performance of the activities under this Project, UNDP as the Implementing Partner shall ensure, with respect to the activities of any of its responsible parties, sub-recipients and other entities engaged under the Project, either as contractors or subcontractors, their personnel and any individuals performing services for them, that those entities have in place adequate and proper procedures, processes and policies to prevent and/or address SEA and SH.</w:t>
      </w:r>
    </w:p>
    <w:p w14:paraId="274291EF" w14:textId="77777777" w:rsidR="008B74FA" w:rsidRPr="00AC0422" w:rsidRDefault="008B74FA" w:rsidP="005D2C02">
      <w:pPr>
        <w:numPr>
          <w:ilvl w:val="1"/>
          <w:numId w:val="15"/>
        </w:numPr>
        <w:autoSpaceDE w:val="0"/>
        <w:autoSpaceDN w:val="0"/>
        <w:adjustRightInd w:val="0"/>
        <w:spacing w:after="120"/>
        <w:rPr>
          <w:rFonts w:asciiTheme="minorHAnsi" w:eastAsia="Calibri" w:hAnsiTheme="minorHAnsi" w:cstheme="minorHAnsi"/>
          <w:color w:val="000000"/>
          <w:szCs w:val="20"/>
        </w:rPr>
      </w:pPr>
      <w:r w:rsidRPr="00AC0422">
        <w:rPr>
          <w:rFonts w:asciiTheme="minorHAnsi" w:hAnsiTheme="minorHAnsi" w:cstheme="minorHAnsi"/>
          <w:szCs w:val="20"/>
        </w:rPr>
        <w:t>Each responsible party, subcontractor and sub-recipient</w:t>
      </w:r>
      <w:r w:rsidRPr="00AC0422">
        <w:rPr>
          <w:rFonts w:asciiTheme="minorHAnsi" w:eastAsia="Calibri" w:hAnsiTheme="minorHAnsi" w:cstheme="minorHAnsi"/>
          <w:color w:val="000000"/>
          <w:szCs w:val="20"/>
        </w:rPr>
        <w:t xml:space="preserve"> will take appropriate steps to prevent misuse of funds, fraud or corruption, by its officials, consultants, subcontractors and sub-recipients in implementing the project or </w:t>
      </w:r>
      <w:proofErr w:type="spellStart"/>
      <w:r w:rsidRPr="00AC0422">
        <w:rPr>
          <w:rFonts w:asciiTheme="minorHAnsi" w:eastAsia="Calibri" w:hAnsiTheme="minorHAnsi" w:cstheme="minorHAnsi"/>
          <w:color w:val="000000"/>
          <w:szCs w:val="20"/>
        </w:rPr>
        <w:t>programme</w:t>
      </w:r>
      <w:proofErr w:type="spellEnd"/>
      <w:r w:rsidRPr="00AC0422">
        <w:rPr>
          <w:rFonts w:asciiTheme="minorHAnsi" w:eastAsia="Calibri" w:hAnsiTheme="minorHAnsi" w:cstheme="minorHAnsi"/>
          <w:color w:val="000000"/>
          <w:szCs w:val="20"/>
        </w:rPr>
        <w:t xml:space="preserve"> or using the UNDP funds.  It will ensure that its financial management, anti-corruption and anti-fraud policies are in place and enforced for all funding received from or through UNDP.</w:t>
      </w:r>
    </w:p>
    <w:p w14:paraId="3FE54F92" w14:textId="77777777" w:rsidR="008B74FA" w:rsidRPr="00AC0422" w:rsidRDefault="008B74FA" w:rsidP="005D2C02">
      <w:pPr>
        <w:numPr>
          <w:ilvl w:val="1"/>
          <w:numId w:val="15"/>
        </w:numPr>
        <w:autoSpaceDE w:val="0"/>
        <w:autoSpaceDN w:val="0"/>
        <w:adjustRightInd w:val="0"/>
        <w:spacing w:after="120"/>
        <w:rPr>
          <w:rFonts w:asciiTheme="minorHAnsi" w:eastAsia="Calibri" w:hAnsiTheme="minorHAnsi" w:cstheme="minorHAnsi"/>
          <w:color w:val="000000"/>
          <w:szCs w:val="20"/>
        </w:rPr>
      </w:pPr>
      <w:r w:rsidRPr="00AC0422">
        <w:rPr>
          <w:rFonts w:asciiTheme="minorHAnsi" w:eastAsia="Calibri" w:hAnsiTheme="minorHAnsi" w:cstheme="minorHAnsi"/>
          <w:color w:val="000000"/>
          <w:szCs w:val="20"/>
        </w:rPr>
        <w:t xml:space="preserve">The requirements of the following documents, then in force at the time of signature of the Project Document, apply to </w:t>
      </w:r>
      <w:r w:rsidRPr="00AC0422">
        <w:rPr>
          <w:rFonts w:asciiTheme="minorHAnsi" w:hAnsiTheme="minorHAnsi" w:cstheme="minorHAnsi"/>
          <w:szCs w:val="20"/>
        </w:rPr>
        <w:t>each responsible party, subcontractor and sub-recipient</w:t>
      </w:r>
      <w:r w:rsidRPr="00AC0422">
        <w:rPr>
          <w:rFonts w:asciiTheme="minorHAnsi" w:eastAsia="Calibri" w:hAnsiTheme="minorHAnsi" w:cstheme="minorHAnsi"/>
          <w:color w:val="000000"/>
          <w:szCs w:val="20"/>
        </w:rPr>
        <w:t xml:space="preserve">: </w:t>
      </w:r>
      <w:r w:rsidRPr="00AC0422">
        <w:rPr>
          <w:rFonts w:asciiTheme="minorHAnsi" w:eastAsia="Calibri" w:hAnsiTheme="minorHAnsi" w:cstheme="minorHAnsi"/>
          <w:bCs/>
          <w:color w:val="000000"/>
          <w:szCs w:val="20"/>
        </w:rPr>
        <w:t>(a)</w:t>
      </w:r>
      <w:r w:rsidRPr="00AC0422">
        <w:rPr>
          <w:rFonts w:asciiTheme="minorHAnsi" w:eastAsia="Calibri" w:hAnsiTheme="minorHAnsi" w:cstheme="minorHAnsi"/>
          <w:b/>
          <w:bCs/>
          <w:color w:val="000000"/>
          <w:szCs w:val="20"/>
        </w:rPr>
        <w:t xml:space="preserve"> </w:t>
      </w:r>
      <w:r w:rsidRPr="00AC0422">
        <w:rPr>
          <w:rFonts w:asciiTheme="minorHAnsi" w:eastAsia="Calibri" w:hAnsiTheme="minorHAnsi" w:cstheme="minorHAnsi"/>
          <w:color w:val="000000"/>
          <w:szCs w:val="20"/>
        </w:rPr>
        <w:t xml:space="preserve">UNDP Policy on Fraud and other Corrupt Practices and </w:t>
      </w:r>
      <w:r w:rsidRPr="00AC0422">
        <w:rPr>
          <w:rFonts w:asciiTheme="minorHAnsi" w:eastAsia="Calibri" w:hAnsiTheme="minorHAnsi" w:cstheme="minorHAnsi"/>
          <w:bCs/>
          <w:color w:val="000000"/>
          <w:szCs w:val="20"/>
        </w:rPr>
        <w:t>(b)</w:t>
      </w:r>
      <w:r w:rsidRPr="00AC0422">
        <w:rPr>
          <w:rFonts w:asciiTheme="minorHAnsi" w:eastAsia="Calibri" w:hAnsiTheme="minorHAnsi" w:cstheme="minorHAnsi"/>
          <w:b/>
          <w:bCs/>
          <w:color w:val="000000"/>
          <w:szCs w:val="20"/>
        </w:rPr>
        <w:t xml:space="preserve"> </w:t>
      </w:r>
      <w:r w:rsidRPr="00AC0422">
        <w:rPr>
          <w:rFonts w:asciiTheme="minorHAnsi" w:eastAsia="Calibri" w:hAnsiTheme="minorHAnsi" w:cstheme="minorHAnsi"/>
          <w:color w:val="000000"/>
          <w:szCs w:val="20"/>
        </w:rPr>
        <w:t xml:space="preserve">UNDP Office of Audit and Investigations Investigation Guidelines. </w:t>
      </w:r>
      <w:r w:rsidRPr="00AC0422">
        <w:rPr>
          <w:rFonts w:asciiTheme="minorHAnsi" w:hAnsiTheme="minorHAnsi" w:cstheme="minorHAnsi"/>
          <w:szCs w:val="20"/>
        </w:rPr>
        <w:t>Each responsible party, subcontractor and sub-recipient</w:t>
      </w:r>
      <w:r w:rsidRPr="00AC0422">
        <w:rPr>
          <w:rFonts w:asciiTheme="minorHAnsi" w:eastAsia="Calibri" w:hAnsiTheme="minorHAnsi" w:cstheme="minorHAnsi"/>
          <w:szCs w:val="20"/>
        </w:rPr>
        <w:t xml:space="preserve"> agrees to the requirements of the above documents, which are an integral part of this Project Document and are available online at www.undp.org. </w:t>
      </w:r>
    </w:p>
    <w:p w14:paraId="5B2A7465" w14:textId="77777777" w:rsidR="008B74FA" w:rsidRPr="00AC0422" w:rsidRDefault="008B74FA" w:rsidP="005D2C02">
      <w:pPr>
        <w:numPr>
          <w:ilvl w:val="1"/>
          <w:numId w:val="15"/>
        </w:numPr>
        <w:spacing w:after="120"/>
        <w:rPr>
          <w:rFonts w:asciiTheme="minorHAnsi" w:hAnsiTheme="minorHAnsi" w:cstheme="minorHAnsi"/>
          <w:color w:val="000000"/>
          <w:szCs w:val="20"/>
        </w:rPr>
      </w:pPr>
      <w:proofErr w:type="gramStart"/>
      <w:r w:rsidRPr="00AC0422">
        <w:rPr>
          <w:rFonts w:asciiTheme="minorHAnsi" w:hAnsiTheme="minorHAnsi" w:cstheme="minorHAnsi"/>
          <w:color w:val="000000"/>
          <w:szCs w:val="20"/>
        </w:rPr>
        <w:t>In the event that</w:t>
      </w:r>
      <w:proofErr w:type="gramEnd"/>
      <w:r w:rsidRPr="00AC0422">
        <w:rPr>
          <w:rFonts w:asciiTheme="minorHAnsi" w:hAnsiTheme="minorHAnsi" w:cstheme="minorHAnsi"/>
          <w:color w:val="000000"/>
          <w:szCs w:val="20"/>
        </w:rPr>
        <w:t xml:space="preserve"> an investigation is required, UNDP will conduct investigations relating to any aspect of UNDP </w:t>
      </w:r>
      <w:proofErr w:type="spellStart"/>
      <w:r w:rsidRPr="00AC0422">
        <w:rPr>
          <w:rFonts w:asciiTheme="minorHAnsi" w:hAnsiTheme="minorHAnsi" w:cstheme="minorHAnsi"/>
          <w:color w:val="000000"/>
          <w:szCs w:val="20"/>
        </w:rPr>
        <w:t>programmes</w:t>
      </w:r>
      <w:proofErr w:type="spellEnd"/>
      <w:r w:rsidRPr="00AC0422">
        <w:rPr>
          <w:rFonts w:asciiTheme="minorHAnsi" w:hAnsiTheme="minorHAnsi" w:cstheme="minorHAnsi"/>
          <w:color w:val="000000"/>
          <w:szCs w:val="20"/>
        </w:rPr>
        <w:t xml:space="preserve"> and projects. </w:t>
      </w:r>
      <w:r w:rsidRPr="00AC0422">
        <w:rPr>
          <w:rFonts w:asciiTheme="minorHAnsi" w:hAnsiTheme="minorHAnsi" w:cstheme="minorHAnsi"/>
          <w:szCs w:val="20"/>
        </w:rPr>
        <w:t>Each responsible party, subcontractor and sub-recipient</w:t>
      </w:r>
      <w:r w:rsidRPr="00AC0422">
        <w:rPr>
          <w:rFonts w:asciiTheme="minorHAnsi" w:hAnsiTheme="minorHAnsi" w:cstheme="minorHAnsi"/>
          <w:color w:val="000000"/>
          <w:szCs w:val="20"/>
        </w:rPr>
        <w:t xml:space="preserve"> will provide its full cooperation, including making available personnel, relevant documentation, and granting access to its</w:t>
      </w:r>
      <w:r w:rsidRPr="00AC0422">
        <w:rPr>
          <w:rFonts w:asciiTheme="minorHAnsi" w:eastAsia="Calibri" w:hAnsiTheme="minorHAnsi" w:cstheme="minorHAnsi"/>
          <w:color w:val="000000"/>
          <w:szCs w:val="20"/>
        </w:rPr>
        <w:t xml:space="preserve"> </w:t>
      </w:r>
      <w:r w:rsidRPr="00AC0422">
        <w:rPr>
          <w:rFonts w:asciiTheme="minorHAnsi" w:hAnsiTheme="minorHAnsi" w:cstheme="minorHAnsi"/>
          <w:color w:val="000000"/>
          <w:szCs w:val="20"/>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06C0372A" w14:textId="77777777" w:rsidR="008B74FA" w:rsidRPr="00AC0422" w:rsidRDefault="008B74FA" w:rsidP="005D2C02">
      <w:pPr>
        <w:numPr>
          <w:ilvl w:val="1"/>
          <w:numId w:val="15"/>
        </w:numPr>
        <w:spacing w:after="120"/>
        <w:rPr>
          <w:rFonts w:asciiTheme="minorHAnsi" w:hAnsiTheme="minorHAnsi" w:cstheme="minorHAnsi"/>
          <w:szCs w:val="20"/>
        </w:rPr>
      </w:pPr>
      <w:r w:rsidRPr="00AC0422">
        <w:rPr>
          <w:rFonts w:asciiTheme="minorHAnsi" w:hAnsiTheme="minorHAnsi" w:cstheme="minorHAnsi"/>
          <w:szCs w:val="20"/>
        </w:rPr>
        <w:t>Each responsible party, subcontractor and sub-recipient will promptly inform UNDP as the Implementing Partner in case of any incidence of inappropriate use of funds, or credible allegation of fraud or corruption with due confidentiality.</w:t>
      </w:r>
    </w:p>
    <w:p w14:paraId="1710EC06" w14:textId="77777777" w:rsidR="008B74FA" w:rsidRPr="00AC0422" w:rsidRDefault="008B74FA" w:rsidP="008B74FA">
      <w:pPr>
        <w:spacing w:after="120"/>
        <w:ind w:left="1440"/>
        <w:rPr>
          <w:rFonts w:asciiTheme="minorHAnsi" w:eastAsia="Calibri" w:hAnsiTheme="minorHAnsi" w:cstheme="minorHAnsi"/>
          <w:color w:val="000000"/>
          <w:szCs w:val="20"/>
        </w:rPr>
      </w:pPr>
      <w:r w:rsidRPr="00AC0422">
        <w:rPr>
          <w:rFonts w:asciiTheme="minorHAnsi" w:hAnsiTheme="minorHAnsi" w:cstheme="minorHAnsi"/>
          <w:szCs w:val="20"/>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7F3B6AA2" w14:textId="77777777" w:rsidR="008B74FA" w:rsidRPr="00AC0422" w:rsidRDefault="008B74FA" w:rsidP="005D2C02">
      <w:pPr>
        <w:pStyle w:val="ListParagraph"/>
        <w:numPr>
          <w:ilvl w:val="1"/>
          <w:numId w:val="15"/>
        </w:numPr>
        <w:spacing w:after="120"/>
        <w:rPr>
          <w:rFonts w:asciiTheme="minorHAnsi" w:eastAsia="Calibri" w:hAnsiTheme="minorHAnsi" w:cstheme="minorHAnsi"/>
          <w:color w:val="000000"/>
          <w:sz w:val="20"/>
          <w:szCs w:val="20"/>
        </w:rPr>
      </w:pPr>
      <w:r w:rsidRPr="00AC0422">
        <w:rPr>
          <w:rFonts w:asciiTheme="minorHAnsi" w:hAnsiTheme="minorHAnsi" w:cstheme="minorHAnsi"/>
          <w:sz w:val="20"/>
          <w:szCs w:val="20"/>
        </w:rPr>
        <w:t xml:space="preserve">UNDP will be entitled to a refund from the responsible party, subcontractor or sub-recipient of any funds provided that have been used inappropriately, including through fraud or corruption, </w:t>
      </w:r>
      <w:r w:rsidRPr="00AC0422">
        <w:rPr>
          <w:rFonts w:asciiTheme="minorHAnsi" w:hAnsiTheme="minorHAnsi" w:cstheme="minorHAnsi"/>
          <w:sz w:val="20"/>
          <w:szCs w:val="20"/>
        </w:rPr>
        <w:lastRenderedPageBreak/>
        <w:t xml:space="preserve">or otherwise paid other than in accordance with the terms and conditions of this Project Document.  Such amount may be deducted by UNDP from any payment due to the responsible party, subcontractor or sub-recipient under this or any other agreement.  Recovery of such amount by UNDP shall not diminish or curtail any responsible </w:t>
      </w:r>
      <w:proofErr w:type="spellStart"/>
      <w:r w:rsidRPr="00AC0422">
        <w:rPr>
          <w:rFonts w:asciiTheme="minorHAnsi" w:hAnsiTheme="minorHAnsi" w:cstheme="minorHAnsi"/>
          <w:sz w:val="20"/>
          <w:szCs w:val="20"/>
        </w:rPr>
        <w:t>party’s</w:t>
      </w:r>
      <w:proofErr w:type="spellEnd"/>
      <w:r w:rsidRPr="00AC0422">
        <w:rPr>
          <w:rFonts w:asciiTheme="minorHAnsi" w:hAnsiTheme="minorHAnsi" w:cstheme="minorHAnsi"/>
          <w:sz w:val="20"/>
          <w:szCs w:val="20"/>
        </w:rPr>
        <w:t>, subcontractor’s or sub-recipient’s obligations under this Project Document.</w:t>
      </w:r>
    </w:p>
    <w:p w14:paraId="2576BB7E" w14:textId="77777777" w:rsidR="008B74FA" w:rsidRPr="00AC0422" w:rsidRDefault="008B74FA" w:rsidP="008B74FA">
      <w:pPr>
        <w:spacing w:after="120"/>
        <w:ind w:left="1440"/>
        <w:rPr>
          <w:rFonts w:asciiTheme="minorHAnsi" w:hAnsiTheme="minorHAnsi" w:cstheme="minorHAnsi"/>
          <w:szCs w:val="20"/>
        </w:rPr>
      </w:pPr>
      <w:r w:rsidRPr="00AC0422">
        <w:rPr>
          <w:rFonts w:asciiTheme="minorHAnsi" w:hAnsiTheme="minorHAnsi" w:cstheme="minorHAnsi"/>
          <w:szCs w:val="20"/>
        </w:rPr>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5703A751" w14:textId="77777777" w:rsidR="008B74FA" w:rsidRPr="00AC0422" w:rsidRDefault="008B74FA" w:rsidP="008B74FA">
      <w:pPr>
        <w:spacing w:after="120"/>
        <w:ind w:left="1440"/>
        <w:rPr>
          <w:rFonts w:asciiTheme="minorHAnsi" w:eastAsia="Calibri" w:hAnsiTheme="minorHAnsi" w:cstheme="minorHAnsi"/>
          <w:color w:val="000000"/>
          <w:szCs w:val="20"/>
        </w:rPr>
      </w:pPr>
      <w:r w:rsidRPr="00AC0422">
        <w:rPr>
          <w:rFonts w:asciiTheme="minorHAnsi" w:hAnsiTheme="minorHAnsi" w:cstheme="minorHAnsi"/>
          <w:i/>
          <w:szCs w:val="20"/>
          <w:u w:val="single"/>
        </w:rPr>
        <w:t>Note</w:t>
      </w:r>
      <w:r w:rsidRPr="00AC0422">
        <w:rPr>
          <w:rFonts w:asciiTheme="minorHAnsi" w:hAnsiTheme="minorHAnsi" w:cstheme="minorHAnsi"/>
          <w:i/>
          <w:szCs w:val="20"/>
        </w:rPr>
        <w:t>:</w:t>
      </w:r>
      <w:r w:rsidRPr="00AC0422">
        <w:rPr>
          <w:rFonts w:asciiTheme="minorHAnsi" w:hAnsiTheme="minorHAnsi" w:cstheme="minorHAnsi"/>
          <w:szCs w:val="20"/>
        </w:rPr>
        <w:t xml:space="preserve">  The term “Project Document” as used in this clause shall be deemed to include any relevant subsidiary agreement further to the Project Document, including those with responsible parties, subcontractors and sub-recipients.</w:t>
      </w:r>
    </w:p>
    <w:p w14:paraId="4236A066" w14:textId="77777777" w:rsidR="008B74FA" w:rsidRPr="00AC0422" w:rsidRDefault="008B74FA" w:rsidP="005D2C02">
      <w:pPr>
        <w:numPr>
          <w:ilvl w:val="1"/>
          <w:numId w:val="15"/>
        </w:numPr>
        <w:spacing w:after="120"/>
        <w:rPr>
          <w:rFonts w:asciiTheme="minorHAnsi" w:hAnsiTheme="minorHAnsi" w:cstheme="minorHAnsi"/>
          <w:szCs w:val="20"/>
        </w:rPr>
      </w:pPr>
      <w:r w:rsidRPr="00AC0422">
        <w:rPr>
          <w:rFonts w:asciiTheme="minorHAnsi" w:hAnsiTheme="minorHAnsi" w:cstheme="minorHAnsi"/>
          <w:szCs w:val="20"/>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44B437F4" w14:textId="77777777" w:rsidR="008B74FA" w:rsidRPr="00AC0422" w:rsidRDefault="008B74FA" w:rsidP="005D2C02">
      <w:pPr>
        <w:numPr>
          <w:ilvl w:val="1"/>
          <w:numId w:val="15"/>
        </w:numPr>
        <w:spacing w:after="120"/>
        <w:rPr>
          <w:rFonts w:asciiTheme="minorHAnsi" w:hAnsiTheme="minorHAnsi" w:cstheme="minorHAnsi"/>
          <w:szCs w:val="20"/>
        </w:rPr>
      </w:pPr>
      <w:r w:rsidRPr="00AC0422">
        <w:rPr>
          <w:rFonts w:asciiTheme="minorHAnsi" w:hAnsiTheme="minorHAnsi" w:cstheme="minorHAnsi"/>
          <w:szCs w:val="20"/>
        </w:rPr>
        <w:t xml:space="preserve">Should UNDP refer to the relevant national authorities for appropriate legal action any alleged wrongdoing relating to the project or </w:t>
      </w:r>
      <w:proofErr w:type="spellStart"/>
      <w:r w:rsidRPr="00AC0422">
        <w:rPr>
          <w:rFonts w:asciiTheme="minorHAnsi" w:hAnsiTheme="minorHAnsi" w:cstheme="minorHAnsi"/>
          <w:szCs w:val="20"/>
        </w:rPr>
        <w:t>programme</w:t>
      </w:r>
      <w:proofErr w:type="spellEnd"/>
      <w:r w:rsidRPr="00AC0422">
        <w:rPr>
          <w:rFonts w:asciiTheme="minorHAnsi" w:hAnsiTheme="minorHAnsi" w:cstheme="minorHAnsi"/>
          <w:szCs w:val="20"/>
        </w:rPr>
        <w:t>, the Government will ensure that the relevant national authorities shall actively investigate the same and take appropriate legal action against all individuals found to have participated in the wrongdoing, recover and return any recovered funds to UNDP.</w:t>
      </w:r>
    </w:p>
    <w:p w14:paraId="50D36FBE" w14:textId="77777777" w:rsidR="008B74FA" w:rsidRPr="00AC0422" w:rsidRDefault="008B74FA" w:rsidP="005D2C02">
      <w:pPr>
        <w:numPr>
          <w:ilvl w:val="1"/>
          <w:numId w:val="15"/>
        </w:numPr>
        <w:spacing w:after="120"/>
        <w:rPr>
          <w:rFonts w:asciiTheme="minorHAnsi" w:hAnsiTheme="minorHAnsi" w:cstheme="minorHAnsi"/>
          <w:szCs w:val="20"/>
        </w:rPr>
      </w:pPr>
      <w:r w:rsidRPr="00AC0422">
        <w:rPr>
          <w:rFonts w:asciiTheme="minorHAnsi" w:hAnsiTheme="minorHAnsi" w:cstheme="minorHAnsi"/>
          <w:szCs w:val="20"/>
        </w:rPr>
        <w:t xml:space="preserve">Each responsible party, subcontractor and sub-recipient shall ensure that </w:t>
      </w:r>
      <w:proofErr w:type="gramStart"/>
      <w:r w:rsidRPr="00AC0422">
        <w:rPr>
          <w:rFonts w:asciiTheme="minorHAnsi" w:hAnsiTheme="minorHAnsi" w:cstheme="minorHAnsi"/>
          <w:szCs w:val="20"/>
        </w:rPr>
        <w:t>all of</w:t>
      </w:r>
      <w:proofErr w:type="gramEnd"/>
      <w:r w:rsidRPr="00AC0422">
        <w:rPr>
          <w:rFonts w:asciiTheme="minorHAnsi" w:hAnsiTheme="minorHAnsi" w:cstheme="minorHAnsi"/>
          <w:szCs w:val="20"/>
        </w:rPr>
        <w:t xml:space="preserve"> its obligations set forth under this section entitled “Risk Management” are passed on to its subcontractors and sub-recipients and that all the clauses under this section entitled “Risk Management Standard Clauses” are adequately reflected, </w:t>
      </w:r>
      <w:r w:rsidRPr="00AC0422">
        <w:rPr>
          <w:rFonts w:asciiTheme="minorHAnsi" w:hAnsiTheme="minorHAnsi" w:cstheme="minorHAnsi"/>
          <w:i/>
          <w:szCs w:val="20"/>
        </w:rPr>
        <w:t>mutatis mutandis</w:t>
      </w:r>
      <w:r w:rsidRPr="00AC0422">
        <w:rPr>
          <w:rFonts w:asciiTheme="minorHAnsi" w:hAnsiTheme="minorHAnsi" w:cstheme="minorHAnsi"/>
          <w:szCs w:val="20"/>
        </w:rPr>
        <w:t xml:space="preserve">, in all its sub-contracts or sub-agreements </w:t>
      </w:r>
      <w:proofErr w:type="gramStart"/>
      <w:r w:rsidRPr="00AC0422">
        <w:rPr>
          <w:rFonts w:asciiTheme="minorHAnsi" w:hAnsiTheme="minorHAnsi" w:cstheme="minorHAnsi"/>
          <w:szCs w:val="20"/>
        </w:rPr>
        <w:t>entered into</w:t>
      </w:r>
      <w:proofErr w:type="gramEnd"/>
      <w:r w:rsidRPr="00AC0422">
        <w:rPr>
          <w:rFonts w:asciiTheme="minorHAnsi" w:hAnsiTheme="minorHAnsi" w:cstheme="minorHAnsi"/>
          <w:szCs w:val="20"/>
        </w:rPr>
        <w:t xml:space="preserve"> further to this Project Document.</w:t>
      </w:r>
    </w:p>
    <w:p w14:paraId="5A72BFA3" w14:textId="77777777" w:rsidR="008B74FA" w:rsidRPr="00AC0422" w:rsidRDefault="008B74FA" w:rsidP="008B74FA">
      <w:pPr>
        <w:spacing w:after="0"/>
        <w:jc w:val="left"/>
        <w:rPr>
          <w:rFonts w:asciiTheme="minorHAnsi" w:hAnsiTheme="minorHAnsi" w:cstheme="minorHAnsi"/>
          <w:b/>
          <w:szCs w:val="20"/>
        </w:rPr>
      </w:pPr>
    </w:p>
    <w:p w14:paraId="77227E7C" w14:textId="77777777" w:rsidR="006C181C" w:rsidRPr="00AC0422" w:rsidRDefault="006C181C" w:rsidP="006C181C">
      <w:pPr>
        <w:rPr>
          <w:rFonts w:asciiTheme="minorHAnsi" w:hAnsiTheme="minorHAnsi" w:cstheme="minorHAnsi"/>
          <w:b/>
          <w:szCs w:val="20"/>
        </w:rPr>
      </w:pPr>
    </w:p>
    <w:p w14:paraId="263785F9" w14:textId="77777777" w:rsidR="003E3ABA" w:rsidRPr="00AC0422" w:rsidRDefault="003E3ABA" w:rsidP="003B2A79">
      <w:pPr>
        <w:pStyle w:val="Heading1"/>
        <w:spacing w:before="0" w:after="60"/>
        <w:rPr>
          <w:rFonts w:asciiTheme="minorHAnsi" w:hAnsiTheme="minorHAnsi" w:cstheme="minorHAnsi"/>
        </w:rPr>
      </w:pPr>
      <w:bookmarkStart w:id="40" w:name="_Toc40273945"/>
      <w:r w:rsidRPr="00AC0422">
        <w:rPr>
          <w:rFonts w:asciiTheme="minorHAnsi" w:hAnsiTheme="minorHAnsi" w:cstheme="minorHAnsi"/>
        </w:rPr>
        <w:t>Mandatory Annexes</w:t>
      </w:r>
      <w:bookmarkEnd w:id="40"/>
    </w:p>
    <w:p w14:paraId="2BA53657" w14:textId="7C227381" w:rsidR="00912D53" w:rsidRPr="00AC0422" w:rsidRDefault="00912D53" w:rsidP="00FD462B">
      <w:pPr>
        <w:rPr>
          <w:rFonts w:asciiTheme="minorHAnsi" w:hAnsiTheme="minorHAnsi" w:cstheme="minorHAnsi"/>
          <w:b/>
          <w:i/>
          <w:highlight w:val="yellow"/>
        </w:rPr>
      </w:pPr>
    </w:p>
    <w:p w14:paraId="017E632F" w14:textId="77777777" w:rsidR="00946259" w:rsidRPr="00AC0422" w:rsidRDefault="00912D53" w:rsidP="00912D53">
      <w:pPr>
        <w:ind w:firstLine="720"/>
        <w:rPr>
          <w:rFonts w:asciiTheme="minorHAnsi" w:hAnsiTheme="minorHAnsi" w:cstheme="minorHAnsi"/>
        </w:rPr>
      </w:pPr>
      <w:r w:rsidRPr="00AC0422">
        <w:rPr>
          <w:rFonts w:asciiTheme="minorHAnsi" w:hAnsiTheme="minorHAnsi" w:cstheme="minorHAnsi"/>
        </w:rPr>
        <w:t xml:space="preserve">Annex A: </w:t>
      </w:r>
      <w:bookmarkStart w:id="41" w:name="_Hlk16670430"/>
      <w:r w:rsidRPr="00AC0422">
        <w:rPr>
          <w:rFonts w:asciiTheme="minorHAnsi" w:hAnsiTheme="minorHAnsi" w:cstheme="minorHAnsi"/>
        </w:rPr>
        <w:t xml:space="preserve">GCF </w:t>
      </w:r>
      <w:r w:rsidR="00946259" w:rsidRPr="00AC0422">
        <w:rPr>
          <w:rFonts w:asciiTheme="minorHAnsi" w:hAnsiTheme="minorHAnsi" w:cstheme="minorHAnsi"/>
        </w:rPr>
        <w:t>approved Readiness and Preparatory Support Proposal</w:t>
      </w:r>
    </w:p>
    <w:bookmarkEnd w:id="41"/>
    <w:p w14:paraId="5B7E8D1C" w14:textId="0B67A125" w:rsidR="00912D53" w:rsidRPr="00AC0422" w:rsidRDefault="00E668DB" w:rsidP="00912D53">
      <w:pPr>
        <w:ind w:firstLine="720"/>
        <w:rPr>
          <w:rFonts w:asciiTheme="minorHAnsi" w:hAnsiTheme="minorHAnsi" w:cstheme="minorHAnsi"/>
        </w:rPr>
      </w:pPr>
      <w:r w:rsidRPr="00AC0422">
        <w:rPr>
          <w:rFonts w:asciiTheme="minorHAnsi" w:hAnsiTheme="minorHAnsi" w:cstheme="minorHAnsi"/>
        </w:rPr>
        <w:t>Annex B: GCF</w:t>
      </w:r>
      <w:r w:rsidR="00946259" w:rsidRPr="00AC0422">
        <w:rPr>
          <w:rFonts w:asciiTheme="minorHAnsi" w:hAnsiTheme="minorHAnsi" w:cstheme="minorHAnsi"/>
        </w:rPr>
        <w:t xml:space="preserve"> notification of approval letter</w:t>
      </w:r>
    </w:p>
    <w:p w14:paraId="26EBF68B" w14:textId="19E6EE09" w:rsidR="00912D53" w:rsidRPr="00AC0422" w:rsidRDefault="00912D53" w:rsidP="00912D53">
      <w:pPr>
        <w:ind w:left="720"/>
        <w:rPr>
          <w:rFonts w:asciiTheme="minorHAnsi" w:hAnsiTheme="minorHAnsi" w:cstheme="minorHAnsi"/>
        </w:rPr>
      </w:pPr>
      <w:r w:rsidRPr="00AC0422">
        <w:rPr>
          <w:rFonts w:asciiTheme="minorHAnsi" w:hAnsiTheme="minorHAnsi" w:cstheme="minorHAnsi"/>
        </w:rPr>
        <w:t>Annex C: Procurement plan</w:t>
      </w:r>
    </w:p>
    <w:p w14:paraId="455DF555" w14:textId="78FB17B2" w:rsidR="00912D53" w:rsidRPr="00AC0422" w:rsidRDefault="00946259" w:rsidP="00912D53">
      <w:pPr>
        <w:ind w:left="720"/>
        <w:rPr>
          <w:rFonts w:asciiTheme="minorHAnsi" w:hAnsiTheme="minorHAnsi" w:cstheme="minorHAnsi"/>
        </w:rPr>
      </w:pPr>
      <w:r w:rsidRPr="00AC0422">
        <w:rPr>
          <w:rFonts w:asciiTheme="minorHAnsi" w:hAnsiTheme="minorHAnsi" w:cstheme="minorHAnsi"/>
        </w:rPr>
        <w:t>Annex D</w:t>
      </w:r>
      <w:r w:rsidR="00912D53" w:rsidRPr="00AC0422">
        <w:rPr>
          <w:rFonts w:asciiTheme="minorHAnsi" w:hAnsiTheme="minorHAnsi" w:cstheme="minorHAnsi"/>
        </w:rPr>
        <w:t xml:space="preserve">: Terms of Reference for Project Board and Project Team </w:t>
      </w:r>
    </w:p>
    <w:p w14:paraId="6BF0B4A0" w14:textId="64B37244" w:rsidR="00912D53" w:rsidRPr="00AC0422" w:rsidRDefault="00F74AFE" w:rsidP="00912D53">
      <w:pPr>
        <w:ind w:left="720"/>
        <w:rPr>
          <w:rFonts w:asciiTheme="minorHAnsi" w:hAnsiTheme="minorHAnsi" w:cstheme="minorHAnsi"/>
        </w:rPr>
      </w:pPr>
      <w:r w:rsidRPr="00AC0422">
        <w:rPr>
          <w:rFonts w:asciiTheme="minorHAnsi" w:hAnsiTheme="minorHAnsi" w:cstheme="minorHAnsi"/>
        </w:rPr>
        <w:t xml:space="preserve">Annex </w:t>
      </w:r>
      <w:r w:rsidR="008B74FA" w:rsidRPr="00AC0422">
        <w:rPr>
          <w:rFonts w:asciiTheme="minorHAnsi" w:hAnsiTheme="minorHAnsi" w:cstheme="minorHAnsi"/>
        </w:rPr>
        <w:t>E</w:t>
      </w:r>
      <w:r w:rsidRPr="00AC0422">
        <w:rPr>
          <w:rFonts w:asciiTheme="minorHAnsi" w:hAnsiTheme="minorHAnsi" w:cstheme="minorHAnsi"/>
        </w:rPr>
        <w:t xml:space="preserve">: </w:t>
      </w:r>
      <w:r w:rsidR="00912D53" w:rsidRPr="00AC0422">
        <w:rPr>
          <w:rFonts w:asciiTheme="minorHAnsi" w:hAnsiTheme="minorHAnsi" w:cstheme="minorHAnsi"/>
        </w:rPr>
        <w:t xml:space="preserve">UNDP Risk Log </w:t>
      </w:r>
    </w:p>
    <w:p w14:paraId="535DEC77" w14:textId="65D1DC11" w:rsidR="00912D53" w:rsidRPr="00AC0422" w:rsidRDefault="00F74AFE" w:rsidP="00F74AFE">
      <w:pPr>
        <w:ind w:left="720"/>
        <w:rPr>
          <w:rFonts w:asciiTheme="minorHAnsi" w:hAnsiTheme="minorHAnsi" w:cstheme="minorHAnsi"/>
        </w:rPr>
      </w:pPr>
      <w:r w:rsidRPr="00AC0422">
        <w:rPr>
          <w:rFonts w:asciiTheme="minorHAnsi" w:hAnsiTheme="minorHAnsi" w:cstheme="minorHAnsi"/>
        </w:rPr>
        <w:t xml:space="preserve">Annex </w:t>
      </w:r>
      <w:r w:rsidR="008B74FA" w:rsidRPr="00AC0422">
        <w:rPr>
          <w:rFonts w:asciiTheme="minorHAnsi" w:hAnsiTheme="minorHAnsi" w:cstheme="minorHAnsi"/>
        </w:rPr>
        <w:t>F</w:t>
      </w:r>
      <w:r w:rsidR="00912D53" w:rsidRPr="00AC0422">
        <w:rPr>
          <w:rFonts w:asciiTheme="minorHAnsi" w:hAnsiTheme="minorHAnsi" w:cstheme="minorHAnsi"/>
        </w:rPr>
        <w:t xml:space="preserve">: UNDP Project Quality Assurance Report </w:t>
      </w:r>
    </w:p>
    <w:p w14:paraId="6961059B" w14:textId="6C28E748" w:rsidR="00AB6F65" w:rsidRPr="00AC0422" w:rsidRDefault="00AB6F65" w:rsidP="00912D53">
      <w:pPr>
        <w:ind w:left="720"/>
        <w:rPr>
          <w:rFonts w:asciiTheme="minorHAnsi" w:hAnsiTheme="minorHAnsi" w:cstheme="minorHAnsi"/>
        </w:rPr>
      </w:pPr>
    </w:p>
    <w:p w14:paraId="783DB68E" w14:textId="72915A19" w:rsidR="00AB6F65" w:rsidRPr="00AC0422" w:rsidRDefault="00AB6F65" w:rsidP="00912D53">
      <w:pPr>
        <w:ind w:left="720"/>
        <w:rPr>
          <w:rFonts w:asciiTheme="minorHAnsi" w:hAnsiTheme="minorHAnsi" w:cstheme="minorHAnsi"/>
        </w:rPr>
      </w:pPr>
    </w:p>
    <w:p w14:paraId="4D3A5C4E" w14:textId="52F3F37A" w:rsidR="00AB6F65" w:rsidRPr="00AC0422" w:rsidRDefault="00AB6F65" w:rsidP="00912D53">
      <w:pPr>
        <w:ind w:left="720"/>
        <w:rPr>
          <w:rFonts w:asciiTheme="minorHAnsi" w:hAnsiTheme="minorHAnsi" w:cstheme="minorHAnsi"/>
        </w:rPr>
      </w:pPr>
    </w:p>
    <w:p w14:paraId="73D072AC" w14:textId="4F23349A" w:rsidR="00173FDC" w:rsidRPr="00AC0422" w:rsidRDefault="00173FDC">
      <w:pPr>
        <w:spacing w:after="0"/>
        <w:jc w:val="left"/>
        <w:rPr>
          <w:rFonts w:asciiTheme="minorHAnsi" w:hAnsiTheme="minorHAnsi" w:cstheme="minorHAnsi"/>
        </w:rPr>
      </w:pPr>
      <w:r w:rsidRPr="00AC0422">
        <w:rPr>
          <w:rFonts w:asciiTheme="minorHAnsi" w:hAnsiTheme="minorHAnsi" w:cstheme="minorHAnsi"/>
        </w:rPr>
        <w:br w:type="page"/>
      </w:r>
    </w:p>
    <w:p w14:paraId="463A6321" w14:textId="77777777" w:rsidR="00173FDC" w:rsidRPr="00AC0422" w:rsidRDefault="00173FDC" w:rsidP="00F74AFE">
      <w:pPr>
        <w:pStyle w:val="Heading2"/>
        <w:rPr>
          <w:rFonts w:asciiTheme="minorHAnsi" w:hAnsiTheme="minorHAnsi" w:cstheme="minorHAnsi"/>
          <w:sz w:val="22"/>
          <w:szCs w:val="22"/>
        </w:rPr>
      </w:pPr>
      <w:bookmarkStart w:id="42" w:name="_Toc40273946"/>
      <w:r w:rsidRPr="00AC0422">
        <w:rPr>
          <w:rFonts w:asciiTheme="minorHAnsi" w:hAnsiTheme="minorHAnsi" w:cstheme="minorHAnsi"/>
          <w:sz w:val="22"/>
          <w:szCs w:val="22"/>
        </w:rPr>
        <w:lastRenderedPageBreak/>
        <w:t>Annex A: GCF approved Readiness and Preparatory Support Proposal</w:t>
      </w:r>
      <w:bookmarkEnd w:id="42"/>
    </w:p>
    <w:p w14:paraId="0776A8AA" w14:textId="1BF7C1C8" w:rsidR="00FA0030" w:rsidRPr="00AC0422" w:rsidRDefault="00FA0030">
      <w:pPr>
        <w:spacing w:after="0"/>
        <w:jc w:val="left"/>
        <w:rPr>
          <w:rFonts w:asciiTheme="minorHAnsi" w:hAnsiTheme="minorHAnsi" w:cstheme="minorHAnsi"/>
          <w:bCs/>
        </w:rPr>
      </w:pPr>
      <w:hyperlink r:id="rId56" w:history="1">
        <w:r w:rsidRPr="00AC0422">
          <w:rPr>
            <w:rStyle w:val="Hyperlink"/>
            <w:rFonts w:asciiTheme="minorHAnsi" w:hAnsiTheme="minorHAnsi" w:cstheme="minorHAnsi"/>
            <w:bCs/>
          </w:rPr>
          <w:t>https://pims.undp.org/attachments/10103/221989/1793907/1876322/Readiness%20Proposal_National%20Adaptation%20Plan_Yemen.pdf</w:t>
        </w:r>
      </w:hyperlink>
    </w:p>
    <w:p w14:paraId="0FB8D11A" w14:textId="77777777" w:rsidR="00FA0030" w:rsidRPr="00AC0422" w:rsidRDefault="00FA0030">
      <w:pPr>
        <w:spacing w:after="0"/>
        <w:jc w:val="left"/>
        <w:rPr>
          <w:rFonts w:asciiTheme="minorHAnsi" w:hAnsiTheme="minorHAnsi" w:cstheme="minorHAnsi"/>
          <w:bCs/>
        </w:rPr>
      </w:pPr>
    </w:p>
    <w:p w14:paraId="4560E0DE" w14:textId="6FFCF24E" w:rsidR="00173FDC" w:rsidRPr="00AC0422" w:rsidRDefault="00173FDC">
      <w:pPr>
        <w:spacing w:after="0"/>
        <w:jc w:val="left"/>
        <w:rPr>
          <w:rFonts w:asciiTheme="minorHAnsi" w:hAnsiTheme="minorHAnsi" w:cstheme="minorHAnsi"/>
          <w:bCs/>
        </w:rPr>
      </w:pPr>
      <w:r w:rsidRPr="00AC0422">
        <w:rPr>
          <w:rFonts w:asciiTheme="minorHAnsi" w:hAnsiTheme="minorHAnsi" w:cstheme="minorHAnsi"/>
          <w:bCs/>
        </w:rPr>
        <w:br w:type="page"/>
      </w:r>
    </w:p>
    <w:p w14:paraId="7B154086" w14:textId="77777777" w:rsidR="00776FC8" w:rsidRPr="00AC0422" w:rsidRDefault="00173FDC" w:rsidP="00776FC8">
      <w:pPr>
        <w:pStyle w:val="Heading2"/>
        <w:rPr>
          <w:rFonts w:asciiTheme="minorHAnsi" w:hAnsiTheme="minorHAnsi" w:cstheme="minorHAnsi"/>
          <w:sz w:val="24"/>
        </w:rPr>
      </w:pPr>
      <w:bookmarkStart w:id="43" w:name="_Toc40273947"/>
      <w:r w:rsidRPr="00AC0422">
        <w:rPr>
          <w:rFonts w:asciiTheme="minorHAnsi" w:hAnsiTheme="minorHAnsi" w:cstheme="minorHAnsi"/>
          <w:sz w:val="24"/>
        </w:rPr>
        <w:lastRenderedPageBreak/>
        <w:t>Annex B: GCF notification of approval letter</w:t>
      </w:r>
      <w:bookmarkEnd w:id="43"/>
    </w:p>
    <w:p w14:paraId="2B4A5D67" w14:textId="4171B42D" w:rsidR="00173FDC" w:rsidRPr="00AC0422" w:rsidRDefault="00100A81" w:rsidP="00776FC8">
      <w:pPr>
        <w:pStyle w:val="Heading2"/>
        <w:rPr>
          <w:rFonts w:asciiTheme="minorHAnsi" w:hAnsiTheme="minorHAnsi" w:cstheme="minorHAnsi"/>
          <w:sz w:val="24"/>
        </w:rPr>
      </w:pPr>
      <w:r w:rsidRPr="00AC0422">
        <w:rPr>
          <w:rFonts w:asciiTheme="minorHAnsi" w:hAnsiTheme="minorHAnsi" w:cstheme="minorHAnsi"/>
          <w:noProof/>
        </w:rPr>
        <w:drawing>
          <wp:inline distT="0" distB="0" distL="0" distR="0" wp14:anchorId="4219F332" wp14:editId="6B2F2042">
            <wp:extent cx="7634727" cy="5401406"/>
            <wp:effectExtent l="0" t="952" r="0" b="0"/>
            <wp:docPr id="1189028028" name="Picture 19"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028028" name="Picture 19" descr="A document with text on it&#10;&#10;AI-generated content may be incorrect."/>
                    <pic:cNvPicPr/>
                  </pic:nvPicPr>
                  <pic:blipFill>
                    <a:blip r:embed="rId57" cstate="print">
                      <a:extLst>
                        <a:ext uri="{28A0092B-C50C-407E-A947-70E740481C1C}">
                          <a14:useLocalDpi xmlns:a14="http://schemas.microsoft.com/office/drawing/2010/main" val="0"/>
                        </a:ext>
                      </a:extLst>
                    </a:blip>
                    <a:stretch>
                      <a:fillRect/>
                    </a:stretch>
                  </pic:blipFill>
                  <pic:spPr>
                    <a:xfrm rot="16200000">
                      <a:off x="0" y="0"/>
                      <a:ext cx="7676186" cy="5430738"/>
                    </a:xfrm>
                    <a:prstGeom prst="rect">
                      <a:avLst/>
                    </a:prstGeom>
                  </pic:spPr>
                </pic:pic>
              </a:graphicData>
            </a:graphic>
          </wp:inline>
        </w:drawing>
      </w:r>
      <w:r w:rsidR="00173FDC" w:rsidRPr="00AC0422">
        <w:rPr>
          <w:rFonts w:asciiTheme="minorHAnsi" w:hAnsiTheme="minorHAnsi" w:cstheme="minorHAnsi"/>
        </w:rPr>
        <w:br w:type="page"/>
      </w:r>
    </w:p>
    <w:p w14:paraId="3F205E91" w14:textId="37AD404B" w:rsidR="00776FC8" w:rsidRPr="00AC0422" w:rsidRDefault="00776FC8">
      <w:pPr>
        <w:spacing w:after="0"/>
        <w:jc w:val="left"/>
        <w:rPr>
          <w:rFonts w:asciiTheme="minorHAnsi" w:hAnsiTheme="minorHAnsi" w:cstheme="minorHAnsi"/>
          <w:b/>
        </w:rPr>
        <w:sectPr w:rsidR="00776FC8" w:rsidRPr="00AC0422" w:rsidSect="00950B12">
          <w:pgSz w:w="12240" w:h="15840" w:code="1"/>
          <w:pgMar w:top="1440" w:right="1440" w:bottom="1440" w:left="1440" w:header="720" w:footer="720" w:gutter="0"/>
          <w:cols w:space="720"/>
          <w:docGrid w:linePitch="360"/>
        </w:sectPr>
      </w:pPr>
    </w:p>
    <w:p w14:paraId="00170C70" w14:textId="44DDAA71" w:rsidR="00776FC8" w:rsidRPr="00AC0422" w:rsidRDefault="00776FC8">
      <w:pPr>
        <w:spacing w:after="0"/>
        <w:jc w:val="left"/>
        <w:rPr>
          <w:rFonts w:asciiTheme="minorHAnsi" w:hAnsiTheme="minorHAnsi" w:cstheme="minorHAnsi"/>
          <w:b/>
          <w:bCs/>
          <w:sz w:val="24"/>
        </w:rPr>
      </w:pPr>
      <w:bookmarkStart w:id="44" w:name="_Toc40273948"/>
      <w:r w:rsidRPr="00AC0422">
        <w:rPr>
          <w:rFonts w:asciiTheme="minorHAnsi" w:hAnsiTheme="minorHAnsi" w:cstheme="minorHAnsi"/>
          <w:b/>
          <w:bCs/>
          <w:sz w:val="24"/>
        </w:rPr>
        <w:lastRenderedPageBreak/>
        <w:t>Annex C: Procurement plan</w:t>
      </w:r>
      <w:bookmarkEnd w:id="44"/>
    </w:p>
    <w:p w14:paraId="7DBE8531" w14:textId="0C0D94ED" w:rsidR="00173FDC" w:rsidRPr="00AC0422" w:rsidRDefault="00173FDC">
      <w:pPr>
        <w:spacing w:after="0"/>
        <w:jc w:val="left"/>
        <w:rPr>
          <w:rFonts w:asciiTheme="minorHAnsi" w:hAnsiTheme="minorHAnsi" w:cstheme="minorHAnsi"/>
          <w:b/>
        </w:rPr>
      </w:pPr>
    </w:p>
    <w:tbl>
      <w:tblPr>
        <w:tblW w:w="12823" w:type="dxa"/>
        <w:tblLook w:val="04A0" w:firstRow="1" w:lastRow="0" w:firstColumn="1" w:lastColumn="0" w:noHBand="0" w:noVBand="1"/>
      </w:tblPr>
      <w:tblGrid>
        <w:gridCol w:w="410"/>
        <w:gridCol w:w="981"/>
        <w:gridCol w:w="2510"/>
        <w:gridCol w:w="1065"/>
        <w:gridCol w:w="1077"/>
        <w:gridCol w:w="1093"/>
        <w:gridCol w:w="1093"/>
        <w:gridCol w:w="1093"/>
        <w:gridCol w:w="1093"/>
        <w:gridCol w:w="889"/>
        <w:gridCol w:w="1343"/>
        <w:gridCol w:w="308"/>
      </w:tblGrid>
      <w:tr w:rsidR="007507DC" w:rsidRPr="00AC0422" w14:paraId="21258E6C" w14:textId="77777777" w:rsidTr="007507DC">
        <w:trPr>
          <w:trHeight w:val="2913"/>
        </w:trPr>
        <w:tc>
          <w:tcPr>
            <w:tcW w:w="359"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7590D9FF"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No</w:t>
            </w:r>
          </w:p>
        </w:tc>
        <w:tc>
          <w:tcPr>
            <w:tcW w:w="935"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5108071E"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Status</w:t>
            </w:r>
          </w:p>
        </w:tc>
        <w:tc>
          <w:tcPr>
            <w:tcW w:w="2780"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3C05F0ED" w14:textId="77777777" w:rsidR="007507DC" w:rsidRPr="00AC0422" w:rsidRDefault="007507DC" w:rsidP="007507DC">
            <w:pPr>
              <w:spacing w:after="0"/>
              <w:jc w:val="center"/>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Item Description </w:t>
            </w:r>
          </w:p>
        </w:tc>
        <w:tc>
          <w:tcPr>
            <w:tcW w:w="998"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4AF88492"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Category </w:t>
            </w:r>
          </w:p>
        </w:tc>
        <w:tc>
          <w:tcPr>
            <w:tcW w:w="998"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3B02B207" w14:textId="77777777" w:rsidR="007507DC" w:rsidRPr="00AC0422" w:rsidRDefault="007507DC" w:rsidP="007507DC">
            <w:pPr>
              <w:spacing w:after="0"/>
              <w:jc w:val="center"/>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Estimated Cost (US$)</w:t>
            </w:r>
          </w:p>
        </w:tc>
        <w:tc>
          <w:tcPr>
            <w:tcW w:w="1107"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717479FA"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Procurement Method (e.g. open, limited </w:t>
            </w:r>
            <w:proofErr w:type="gramStart"/>
            <w:r w:rsidRPr="00AC0422">
              <w:rPr>
                <w:rFonts w:asciiTheme="minorHAnsi" w:eastAsia="Times New Roman" w:hAnsiTheme="minorHAnsi" w:cstheme="minorHAnsi"/>
                <w:b/>
                <w:bCs/>
                <w:color w:val="FFFFFF"/>
                <w:sz w:val="18"/>
                <w:szCs w:val="18"/>
                <w:lang w:val="en-CA"/>
              </w:rPr>
              <w:t>RFP,ITB</w:t>
            </w:r>
            <w:proofErr w:type="gramEnd"/>
            <w:r w:rsidRPr="00AC0422">
              <w:rPr>
                <w:rFonts w:asciiTheme="minorHAnsi" w:eastAsia="Times New Roman" w:hAnsiTheme="minorHAnsi" w:cstheme="minorHAnsi"/>
                <w:b/>
                <w:bCs/>
                <w:color w:val="FFFFFF"/>
                <w:sz w:val="18"/>
                <w:szCs w:val="18"/>
                <w:lang w:val="en-CA"/>
              </w:rPr>
              <w:t xml:space="preserve">,RFQ) </w:t>
            </w:r>
          </w:p>
        </w:tc>
        <w:tc>
          <w:tcPr>
            <w:tcW w:w="1037"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1C7857F2"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proofErr w:type="gramStart"/>
            <w:r w:rsidRPr="00AC0422">
              <w:rPr>
                <w:rFonts w:asciiTheme="minorHAnsi" w:eastAsia="Times New Roman" w:hAnsiTheme="minorHAnsi" w:cstheme="minorHAnsi"/>
                <w:b/>
                <w:bCs/>
                <w:color w:val="FFFFFF"/>
                <w:sz w:val="18"/>
                <w:szCs w:val="18"/>
                <w:lang w:val="en-CA"/>
              </w:rPr>
              <w:t>Thresholds  as</w:t>
            </w:r>
            <w:proofErr w:type="gramEnd"/>
            <w:r w:rsidRPr="00AC0422">
              <w:rPr>
                <w:rFonts w:asciiTheme="minorHAnsi" w:eastAsia="Times New Roman" w:hAnsiTheme="minorHAnsi" w:cstheme="minorHAnsi"/>
                <w:b/>
                <w:bCs/>
                <w:color w:val="FFFFFF"/>
                <w:sz w:val="18"/>
                <w:szCs w:val="18"/>
                <w:lang w:val="en-CA"/>
              </w:rPr>
              <w:t xml:space="preserve"> per applicable procurement policy</w:t>
            </w:r>
            <w:r w:rsidRPr="00AC0422">
              <w:rPr>
                <w:rFonts w:asciiTheme="minorHAnsi" w:eastAsia="Times New Roman" w:hAnsiTheme="minorHAnsi" w:cstheme="minorHAnsi"/>
                <w:b/>
                <w:bCs/>
                <w:color w:val="FFFFFF"/>
                <w:sz w:val="18"/>
                <w:szCs w:val="18"/>
                <w:lang w:val="en-CA"/>
              </w:rPr>
              <w:br/>
            </w:r>
            <w:r w:rsidRPr="00AC0422">
              <w:rPr>
                <w:rFonts w:asciiTheme="minorHAnsi" w:eastAsia="Times New Roman" w:hAnsiTheme="minorHAnsi" w:cstheme="minorHAnsi"/>
                <w:color w:val="FFFFFF"/>
                <w:sz w:val="18"/>
                <w:szCs w:val="18"/>
                <w:lang w:val="en-CA"/>
              </w:rPr>
              <w:t>(Min-Max monetary value for which indicated procurement method must be used)</w:t>
            </w:r>
          </w:p>
        </w:tc>
        <w:tc>
          <w:tcPr>
            <w:tcW w:w="1045"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4FD29696" w14:textId="77777777" w:rsidR="007507DC" w:rsidRPr="00AC0422" w:rsidRDefault="007507DC" w:rsidP="007507DC">
            <w:pPr>
              <w:spacing w:after="0"/>
              <w:jc w:val="center"/>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Name of Entity executing Procurement (DP/EE, etc.) </w:t>
            </w:r>
          </w:p>
        </w:tc>
        <w:tc>
          <w:tcPr>
            <w:tcW w:w="1037"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5CE7D0C2"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Date of initiating procurement (Tender </w:t>
            </w:r>
            <w:proofErr w:type="spellStart"/>
            <w:r w:rsidRPr="00AC0422">
              <w:rPr>
                <w:rFonts w:asciiTheme="minorHAnsi" w:eastAsia="Times New Roman" w:hAnsiTheme="minorHAnsi" w:cstheme="minorHAnsi"/>
                <w:b/>
                <w:bCs/>
                <w:color w:val="FFFFFF"/>
                <w:sz w:val="18"/>
                <w:szCs w:val="18"/>
                <w:lang w:val="en-CA"/>
              </w:rPr>
              <w:t>Issuence</w:t>
            </w:r>
            <w:proofErr w:type="spellEnd"/>
            <w:r w:rsidRPr="00AC0422">
              <w:rPr>
                <w:rFonts w:asciiTheme="minorHAnsi" w:eastAsia="Times New Roman" w:hAnsiTheme="minorHAnsi" w:cstheme="minorHAnsi"/>
                <w:b/>
                <w:bCs/>
                <w:color w:val="FFFFFF"/>
                <w:sz w:val="18"/>
                <w:szCs w:val="18"/>
                <w:lang w:val="en-CA"/>
              </w:rPr>
              <w:t xml:space="preserve">) </w:t>
            </w:r>
          </w:p>
        </w:tc>
        <w:tc>
          <w:tcPr>
            <w:tcW w:w="848"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44407B44"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Estimated contract start date</w:t>
            </w:r>
          </w:p>
        </w:tc>
        <w:tc>
          <w:tcPr>
            <w:tcW w:w="1360"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78C5C2E8"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Remarks</w:t>
            </w:r>
          </w:p>
        </w:tc>
        <w:tc>
          <w:tcPr>
            <w:tcW w:w="319" w:type="dxa"/>
            <w:tcBorders>
              <w:top w:val="nil"/>
              <w:left w:val="nil"/>
              <w:bottom w:val="nil"/>
              <w:right w:val="nil"/>
            </w:tcBorders>
            <w:shd w:val="clear" w:color="000000" w:fill="FFFFFF"/>
            <w:noWrap/>
            <w:vAlign w:val="bottom"/>
            <w:hideMark/>
          </w:tcPr>
          <w:p w14:paraId="55D32B00"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369D7613" w14:textId="77777777" w:rsidTr="007507DC">
        <w:trPr>
          <w:trHeight w:val="1577"/>
        </w:trPr>
        <w:tc>
          <w:tcPr>
            <w:tcW w:w="359" w:type="dxa"/>
            <w:tcBorders>
              <w:top w:val="single" w:sz="8" w:space="0" w:color="auto"/>
              <w:left w:val="single" w:sz="8" w:space="0" w:color="auto"/>
              <w:bottom w:val="single" w:sz="4" w:space="0" w:color="auto"/>
              <w:right w:val="single" w:sz="4" w:space="0" w:color="auto"/>
            </w:tcBorders>
            <w:shd w:val="clear" w:color="D9E1F2" w:fill="D9E1F2"/>
            <w:noWrap/>
            <w:vAlign w:val="center"/>
            <w:hideMark/>
          </w:tcPr>
          <w:p w14:paraId="38D57C88"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1</w:t>
            </w:r>
          </w:p>
        </w:tc>
        <w:tc>
          <w:tcPr>
            <w:tcW w:w="935" w:type="dxa"/>
            <w:tcBorders>
              <w:top w:val="single" w:sz="8" w:space="0" w:color="auto"/>
              <w:left w:val="single" w:sz="4" w:space="0" w:color="auto"/>
              <w:bottom w:val="single" w:sz="4" w:space="0" w:color="auto"/>
              <w:right w:val="single" w:sz="4" w:space="0" w:color="auto"/>
            </w:tcBorders>
            <w:shd w:val="clear" w:color="D9E1F2" w:fill="D9E1F2"/>
            <w:noWrap/>
            <w:vAlign w:val="bottom"/>
            <w:hideMark/>
          </w:tcPr>
          <w:p w14:paraId="7117493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55FCA3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International Consultants to support Output 3.1.1 Total of </w:t>
            </w:r>
            <w:r w:rsidRPr="00AC0422">
              <w:rPr>
                <w:rFonts w:asciiTheme="minorHAnsi" w:eastAsia="Times New Roman" w:hAnsiTheme="minorHAnsi" w:cstheme="minorHAnsi"/>
                <w:b/>
                <w:bCs/>
                <w:sz w:val="18"/>
                <w:szCs w:val="18"/>
                <w:lang w:val="en-CA"/>
              </w:rPr>
              <w:t>287</w:t>
            </w:r>
            <w:r w:rsidRPr="00AC0422">
              <w:rPr>
                <w:rFonts w:asciiTheme="minorHAnsi" w:eastAsia="Times New Roman" w:hAnsiTheme="minorHAnsi" w:cstheme="minorHAnsi"/>
                <w:sz w:val="18"/>
                <w:szCs w:val="18"/>
                <w:lang w:val="en-CA"/>
              </w:rPr>
              <w:t xml:space="preserve"> days @ $550 USD/day: Climate Adaptation Specialist (Team Lead) - 112days; Climate Risk and Vulnerability Expert - 40 days; Climate and Humanitarian Specialist - 40 days; Disaster Risk Reduction Expert - 30days; Gender and Social Inclusion Specialist (GESI Team Lead) - 40 days; Environmental Socio-economics Expert - 25 days.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66DCC17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3DF7FD1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185,350.00 </w:t>
            </w:r>
          </w:p>
        </w:tc>
        <w:tc>
          <w:tcPr>
            <w:tcW w:w="110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6DB5B1B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6E6FF9E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8D2B16A"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5ED06A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84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1124F1A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5157B4B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w:t>
            </w:r>
          </w:p>
        </w:tc>
        <w:tc>
          <w:tcPr>
            <w:tcW w:w="319" w:type="dxa"/>
            <w:tcBorders>
              <w:top w:val="nil"/>
              <w:left w:val="nil"/>
              <w:bottom w:val="nil"/>
              <w:right w:val="nil"/>
            </w:tcBorders>
            <w:shd w:val="clear" w:color="000000" w:fill="FFFFFF"/>
            <w:noWrap/>
            <w:vAlign w:val="bottom"/>
            <w:hideMark/>
          </w:tcPr>
          <w:p w14:paraId="2CBBAB0A"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0384F6E8"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51C78FC4"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w:t>
            </w:r>
          </w:p>
        </w:tc>
        <w:tc>
          <w:tcPr>
            <w:tcW w:w="9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E33C60"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90177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E16CA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12FC18"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5DF6F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D932B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A3732"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A447E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67B22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162B3DD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13F0449D"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72F4BD14"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1F00DAC8"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1</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7ED5DC7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D7852D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C0FF5F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B5C3DE1"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CBEB43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B143C6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25F265F"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74FDF4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E34AB2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59728F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30BB393"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5F8246FC" w14:textId="77777777" w:rsidTr="007507DC">
        <w:trPr>
          <w:trHeight w:val="1051"/>
        </w:trPr>
        <w:tc>
          <w:tcPr>
            <w:tcW w:w="359" w:type="dxa"/>
            <w:tcBorders>
              <w:top w:val="single" w:sz="4" w:space="0" w:color="8EA9DB"/>
              <w:left w:val="single" w:sz="8" w:space="0" w:color="auto"/>
              <w:bottom w:val="single" w:sz="4" w:space="0" w:color="auto"/>
              <w:right w:val="single" w:sz="4" w:space="0" w:color="auto"/>
            </w:tcBorders>
            <w:shd w:val="clear" w:color="auto" w:fill="auto"/>
            <w:noWrap/>
            <w:vAlign w:val="center"/>
            <w:hideMark/>
          </w:tcPr>
          <w:p w14:paraId="3206AEB1"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w:t>
            </w:r>
          </w:p>
        </w:tc>
        <w:tc>
          <w:tcPr>
            <w:tcW w:w="935" w:type="dxa"/>
            <w:tcBorders>
              <w:top w:val="single" w:sz="4" w:space="0" w:color="8EA9DB"/>
              <w:left w:val="single" w:sz="4" w:space="0" w:color="auto"/>
              <w:bottom w:val="single" w:sz="4" w:space="0" w:color="auto"/>
              <w:right w:val="single" w:sz="4" w:space="0" w:color="auto"/>
            </w:tcBorders>
            <w:shd w:val="clear" w:color="auto" w:fill="auto"/>
            <w:noWrap/>
            <w:vAlign w:val="bottom"/>
            <w:hideMark/>
          </w:tcPr>
          <w:p w14:paraId="4568817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53B587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Local Experts to support Output 3.1.1. Total </w:t>
            </w:r>
            <w:r w:rsidRPr="00AC0422">
              <w:rPr>
                <w:rFonts w:asciiTheme="minorHAnsi" w:eastAsia="Times New Roman" w:hAnsiTheme="minorHAnsi" w:cstheme="minorHAnsi"/>
                <w:b/>
                <w:bCs/>
                <w:sz w:val="18"/>
                <w:szCs w:val="18"/>
                <w:lang w:val="en-CA"/>
              </w:rPr>
              <w:t>649 days</w:t>
            </w:r>
            <w:r w:rsidRPr="00AC0422">
              <w:rPr>
                <w:rFonts w:asciiTheme="minorHAnsi" w:eastAsia="Times New Roman" w:hAnsiTheme="minorHAnsi" w:cstheme="minorHAnsi"/>
                <w:sz w:val="18"/>
                <w:szCs w:val="18"/>
                <w:lang w:val="en-CA"/>
              </w:rPr>
              <w:t xml:space="preserve"> @ $200 USD/day: Sectoral Experts (Water, Agriculture, Coastal Zones, Health) - 240 days; Policy and Governance Expert - 50 days; Data Analyst - 20 days; Coordinator </w:t>
            </w:r>
            <w:proofErr w:type="spellStart"/>
            <w:r w:rsidRPr="00AC0422">
              <w:rPr>
                <w:rFonts w:asciiTheme="minorHAnsi" w:eastAsia="Times New Roman" w:hAnsiTheme="minorHAnsi" w:cstheme="minorHAnsi"/>
                <w:sz w:val="18"/>
                <w:szCs w:val="18"/>
                <w:lang w:val="en-CA"/>
              </w:rPr>
              <w:t>Facilitor</w:t>
            </w:r>
            <w:proofErr w:type="spellEnd"/>
            <w:r w:rsidRPr="00AC0422">
              <w:rPr>
                <w:rFonts w:asciiTheme="minorHAnsi" w:eastAsia="Times New Roman" w:hAnsiTheme="minorHAnsi" w:cstheme="minorHAnsi"/>
                <w:sz w:val="18"/>
                <w:szCs w:val="18"/>
                <w:lang w:val="en-CA"/>
              </w:rPr>
              <w:t xml:space="preserve"> - </w:t>
            </w:r>
            <w:r w:rsidRPr="00AC0422">
              <w:rPr>
                <w:rFonts w:asciiTheme="minorHAnsi" w:eastAsia="Times New Roman" w:hAnsiTheme="minorHAnsi" w:cstheme="minorHAnsi"/>
                <w:sz w:val="18"/>
                <w:szCs w:val="18"/>
                <w:lang w:val="en-CA"/>
              </w:rPr>
              <w:lastRenderedPageBreak/>
              <w:t xml:space="preserve">27 days; </w:t>
            </w:r>
            <w:proofErr w:type="spellStart"/>
            <w:r w:rsidRPr="00AC0422">
              <w:rPr>
                <w:rFonts w:asciiTheme="minorHAnsi" w:eastAsia="Times New Roman" w:hAnsiTheme="minorHAnsi" w:cstheme="minorHAnsi"/>
                <w:sz w:val="18"/>
                <w:szCs w:val="18"/>
                <w:lang w:val="en-CA"/>
              </w:rPr>
              <w:t>Techncial</w:t>
            </w:r>
            <w:proofErr w:type="spellEnd"/>
            <w:r w:rsidRPr="00AC0422">
              <w:rPr>
                <w:rFonts w:asciiTheme="minorHAnsi" w:eastAsia="Times New Roman" w:hAnsiTheme="minorHAnsi" w:cstheme="minorHAnsi"/>
                <w:sz w:val="18"/>
                <w:szCs w:val="18"/>
                <w:lang w:val="en-CA"/>
              </w:rPr>
              <w:t xml:space="preserve"> writer - 62 days; Stakeholder Engagement Specialist - 55 days; M&amp;E Specialist - 65 days; Gender Inclusion Specialist - 50 days; Survey team - 80 days</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BCD95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lastRenderedPageBreak/>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47E9D25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129,800.00 </w:t>
            </w:r>
          </w:p>
        </w:tc>
        <w:tc>
          <w:tcPr>
            <w:tcW w:w="1107" w:type="dxa"/>
            <w:tcBorders>
              <w:top w:val="single" w:sz="4" w:space="0" w:color="8EA9DB"/>
              <w:left w:val="nil"/>
              <w:bottom w:val="single" w:sz="4" w:space="0" w:color="8EA9DB"/>
              <w:right w:val="nil"/>
            </w:tcBorders>
            <w:shd w:val="clear" w:color="auto" w:fill="auto"/>
            <w:vAlign w:val="center"/>
            <w:hideMark/>
          </w:tcPr>
          <w:p w14:paraId="70372C3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0FA9422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B5BC721"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3AF32B9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84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1DDBD0D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14E8910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B</w:t>
            </w:r>
          </w:p>
        </w:tc>
        <w:tc>
          <w:tcPr>
            <w:tcW w:w="319" w:type="dxa"/>
            <w:tcBorders>
              <w:top w:val="nil"/>
              <w:left w:val="nil"/>
              <w:bottom w:val="nil"/>
              <w:right w:val="nil"/>
            </w:tcBorders>
            <w:shd w:val="clear" w:color="000000" w:fill="FFFFFF"/>
            <w:noWrap/>
            <w:vAlign w:val="bottom"/>
            <w:hideMark/>
          </w:tcPr>
          <w:p w14:paraId="391115E8"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0AF16A53"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D9E1F2" w:fill="D9E1F2"/>
            <w:noWrap/>
            <w:vAlign w:val="center"/>
            <w:hideMark/>
          </w:tcPr>
          <w:p w14:paraId="23EA2C5B"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w:t>
            </w:r>
          </w:p>
        </w:tc>
        <w:tc>
          <w:tcPr>
            <w:tcW w:w="93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69B46DB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49E2947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1467A5C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674E99E1"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4D72327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3107D8E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1517DFB2"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4FED6CB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62711D3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D9E1F2" w:fill="D9E1F2"/>
            <w:noWrap/>
            <w:vAlign w:val="center"/>
            <w:hideMark/>
          </w:tcPr>
          <w:p w14:paraId="2879EA2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68186541"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1C06A81B"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A88A15B"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16A30A8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7D7E18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FF3642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7575A1B"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D28A16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AC43C2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544F1FF"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61049C3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8E9453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78103B8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21C84B8A"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18DFEFC0" w14:textId="77777777" w:rsidTr="007507DC">
        <w:trPr>
          <w:trHeight w:val="1051"/>
        </w:trPr>
        <w:tc>
          <w:tcPr>
            <w:tcW w:w="359" w:type="dxa"/>
            <w:tcBorders>
              <w:top w:val="single" w:sz="8" w:space="0" w:color="auto"/>
              <w:left w:val="single" w:sz="8" w:space="0" w:color="auto"/>
              <w:bottom w:val="single" w:sz="4" w:space="0" w:color="auto"/>
              <w:right w:val="single" w:sz="4" w:space="0" w:color="auto"/>
            </w:tcBorders>
            <w:shd w:val="clear" w:color="D9E1F2" w:fill="D9E1F2"/>
            <w:noWrap/>
            <w:vAlign w:val="center"/>
            <w:hideMark/>
          </w:tcPr>
          <w:p w14:paraId="466BC569"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3</w:t>
            </w:r>
          </w:p>
        </w:tc>
        <w:tc>
          <w:tcPr>
            <w:tcW w:w="935" w:type="dxa"/>
            <w:tcBorders>
              <w:top w:val="single" w:sz="8" w:space="0" w:color="auto"/>
              <w:left w:val="single" w:sz="4" w:space="0" w:color="auto"/>
              <w:bottom w:val="single" w:sz="4" w:space="0" w:color="auto"/>
              <w:right w:val="single" w:sz="4" w:space="0" w:color="auto"/>
            </w:tcBorders>
            <w:shd w:val="clear" w:color="D9E1F2" w:fill="D9E1F2"/>
            <w:noWrap/>
            <w:vAlign w:val="bottom"/>
            <w:hideMark/>
          </w:tcPr>
          <w:p w14:paraId="2F81306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0A2B92E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Professional Services – Companies/Firm to provide GESI surveys under Output 3.1.1</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44B052F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(Professional Firms)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3B6B5812"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10,000.00 </w:t>
            </w:r>
          </w:p>
        </w:tc>
        <w:tc>
          <w:tcPr>
            <w:tcW w:w="1107" w:type="dxa"/>
            <w:tcBorders>
              <w:top w:val="single" w:sz="4" w:space="0" w:color="8EA9DB"/>
              <w:left w:val="nil"/>
              <w:bottom w:val="single" w:sz="4" w:space="0" w:color="8EA9DB"/>
              <w:right w:val="nil"/>
            </w:tcBorders>
            <w:shd w:val="clear" w:color="D9E1F2" w:fill="D9E1F2"/>
            <w:vAlign w:val="center"/>
            <w:hideMark/>
          </w:tcPr>
          <w:p w14:paraId="201E86E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RFQ</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4E2B0A8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643F2A51"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6647406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848"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567E036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3B56A1A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F</w:t>
            </w:r>
          </w:p>
        </w:tc>
        <w:tc>
          <w:tcPr>
            <w:tcW w:w="319" w:type="dxa"/>
            <w:tcBorders>
              <w:top w:val="nil"/>
              <w:left w:val="nil"/>
              <w:bottom w:val="nil"/>
              <w:right w:val="nil"/>
            </w:tcBorders>
            <w:shd w:val="clear" w:color="000000" w:fill="FFFFFF"/>
            <w:noWrap/>
            <w:vAlign w:val="bottom"/>
            <w:hideMark/>
          </w:tcPr>
          <w:p w14:paraId="05834AF9"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013CC877"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61FD628D"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3</w:t>
            </w:r>
          </w:p>
        </w:tc>
        <w:tc>
          <w:tcPr>
            <w:tcW w:w="9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BAB83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397BD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50652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459402"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4C00D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C847F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C9F3F"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F624A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902A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5718387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73AAE47"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779C6472"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13E33B93"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3</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0F712EA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41871A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8CC40B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EDA6031"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AA8F52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ED2436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3704C31"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627A6D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A37E13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5CC8D34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1F5E16C6"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0E0C6835" w14:textId="77777777" w:rsidTr="007507DC">
        <w:trPr>
          <w:trHeight w:val="1051"/>
        </w:trPr>
        <w:tc>
          <w:tcPr>
            <w:tcW w:w="35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45C6644C"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4</w:t>
            </w:r>
          </w:p>
        </w:tc>
        <w:tc>
          <w:tcPr>
            <w:tcW w:w="935"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67028D4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7F1C1B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International Consultants to support Output 3.1.3. Total </w:t>
            </w:r>
            <w:r w:rsidRPr="00AC0422">
              <w:rPr>
                <w:rFonts w:asciiTheme="minorHAnsi" w:eastAsia="Times New Roman" w:hAnsiTheme="minorHAnsi" w:cstheme="minorHAnsi"/>
                <w:b/>
                <w:bCs/>
                <w:sz w:val="18"/>
                <w:szCs w:val="18"/>
                <w:lang w:val="en-CA"/>
              </w:rPr>
              <w:t>70 days</w:t>
            </w:r>
            <w:r w:rsidRPr="00AC0422">
              <w:rPr>
                <w:rFonts w:asciiTheme="minorHAnsi" w:eastAsia="Times New Roman" w:hAnsiTheme="minorHAnsi" w:cstheme="minorHAnsi"/>
                <w:sz w:val="18"/>
                <w:szCs w:val="18"/>
                <w:lang w:val="en-CA"/>
              </w:rPr>
              <w:t xml:space="preserve"> @ $500 USD/day: Climate Adaptation Specialist (Team Lead) - 40 days; Humanitarian Specialist - 30 days</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A07D4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7F35F7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35,000.00 </w:t>
            </w:r>
          </w:p>
        </w:tc>
        <w:tc>
          <w:tcPr>
            <w:tcW w:w="110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7EA335E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6586DB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1975A3D4"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11AC52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84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0B0A011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19D7E73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H</w:t>
            </w:r>
          </w:p>
        </w:tc>
        <w:tc>
          <w:tcPr>
            <w:tcW w:w="319" w:type="dxa"/>
            <w:tcBorders>
              <w:top w:val="nil"/>
              <w:left w:val="nil"/>
              <w:bottom w:val="nil"/>
              <w:right w:val="nil"/>
            </w:tcBorders>
            <w:shd w:val="clear" w:color="000000" w:fill="FFFFFF"/>
            <w:noWrap/>
            <w:vAlign w:val="bottom"/>
            <w:hideMark/>
          </w:tcPr>
          <w:p w14:paraId="0ACDA3A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60B298A"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D9E1F2" w:fill="D9E1F2"/>
            <w:noWrap/>
            <w:vAlign w:val="center"/>
            <w:hideMark/>
          </w:tcPr>
          <w:p w14:paraId="0D067C9E"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4</w:t>
            </w:r>
          </w:p>
        </w:tc>
        <w:tc>
          <w:tcPr>
            <w:tcW w:w="93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4CE77830"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66FAAB8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3992DE3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5264AA98"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7AF15A4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1821B74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60800184"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29C71B0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566532A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D9E1F2" w:fill="D9E1F2"/>
            <w:noWrap/>
            <w:vAlign w:val="center"/>
            <w:hideMark/>
          </w:tcPr>
          <w:p w14:paraId="03556A0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7ED1EA0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1C5D45C2"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05458999"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4</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57BC6CBA"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2A3F39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6C591E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47BD3F1"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D7E89C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A78B79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426FD76"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6D64BC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6267FD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1E04285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208B558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6B14476" w14:textId="77777777" w:rsidTr="007507DC">
        <w:trPr>
          <w:trHeight w:val="1051"/>
        </w:trPr>
        <w:tc>
          <w:tcPr>
            <w:tcW w:w="359" w:type="dxa"/>
            <w:tcBorders>
              <w:top w:val="single" w:sz="8" w:space="0" w:color="auto"/>
              <w:left w:val="single" w:sz="8" w:space="0" w:color="auto"/>
              <w:bottom w:val="single" w:sz="4" w:space="0" w:color="auto"/>
              <w:right w:val="single" w:sz="4" w:space="0" w:color="auto"/>
            </w:tcBorders>
            <w:shd w:val="clear" w:color="D9E1F2" w:fill="D9E1F2"/>
            <w:noWrap/>
            <w:vAlign w:val="center"/>
            <w:hideMark/>
          </w:tcPr>
          <w:p w14:paraId="4149E6EA"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5</w:t>
            </w:r>
          </w:p>
        </w:tc>
        <w:tc>
          <w:tcPr>
            <w:tcW w:w="935" w:type="dxa"/>
            <w:tcBorders>
              <w:top w:val="single" w:sz="8" w:space="0" w:color="auto"/>
              <w:left w:val="single" w:sz="4" w:space="0" w:color="auto"/>
              <w:bottom w:val="single" w:sz="4" w:space="0" w:color="auto"/>
              <w:right w:val="single" w:sz="4" w:space="0" w:color="auto"/>
            </w:tcBorders>
            <w:shd w:val="clear" w:color="D9E1F2" w:fill="D9E1F2"/>
            <w:noWrap/>
            <w:vAlign w:val="bottom"/>
            <w:hideMark/>
          </w:tcPr>
          <w:p w14:paraId="4B2C64C4"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0122912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Local Experts to support Output 3.1.3 Total </w:t>
            </w:r>
            <w:r w:rsidRPr="00AC0422">
              <w:rPr>
                <w:rFonts w:asciiTheme="minorHAnsi" w:eastAsia="Times New Roman" w:hAnsiTheme="minorHAnsi" w:cstheme="minorHAnsi"/>
                <w:b/>
                <w:bCs/>
                <w:sz w:val="18"/>
                <w:szCs w:val="18"/>
                <w:lang w:val="en-CA"/>
              </w:rPr>
              <w:t>569 days</w:t>
            </w:r>
            <w:r w:rsidRPr="00AC0422">
              <w:rPr>
                <w:rFonts w:asciiTheme="minorHAnsi" w:eastAsia="Times New Roman" w:hAnsiTheme="minorHAnsi" w:cstheme="minorHAnsi"/>
                <w:sz w:val="18"/>
                <w:szCs w:val="18"/>
                <w:lang w:val="en-CA"/>
              </w:rPr>
              <w:t xml:space="preserve"> @ $200 USD/day: Climate Adaptation Specialist - 50 days; Policy and Governance Expert - 65 days; Stakeholder Engagement Specialist - 70 days; Communication Specialist - 40 days; Graphic Designer - 30 days; Facilitator - 49 days; Training Coordinator - 45 days; Sectoral Experts - 200 days; Monitoring and Evaluation (M&amp;E) Specialist - 20 days</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2627C98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F6C297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113,800.00 </w:t>
            </w:r>
          </w:p>
        </w:tc>
        <w:tc>
          <w:tcPr>
            <w:tcW w:w="110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380DB7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1170632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1F98EA32"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485D52E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848"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3F41965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5230A90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I</w:t>
            </w:r>
          </w:p>
        </w:tc>
        <w:tc>
          <w:tcPr>
            <w:tcW w:w="319" w:type="dxa"/>
            <w:tcBorders>
              <w:top w:val="nil"/>
              <w:left w:val="nil"/>
              <w:bottom w:val="nil"/>
              <w:right w:val="nil"/>
            </w:tcBorders>
            <w:shd w:val="clear" w:color="000000" w:fill="FFFFFF"/>
            <w:noWrap/>
            <w:vAlign w:val="bottom"/>
            <w:hideMark/>
          </w:tcPr>
          <w:p w14:paraId="2FD2025C"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12AC5DC0"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799C2FD1"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lastRenderedPageBreak/>
              <w:t>5</w:t>
            </w:r>
          </w:p>
        </w:tc>
        <w:tc>
          <w:tcPr>
            <w:tcW w:w="9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E353AB"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0DB2CA"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90F05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60DDDF"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2C8A8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CC3B8F"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15ABD8"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6E87F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1CF7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6E5FDFF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6F1EFBBC"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507CDFB"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79954B5D"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5</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6F792CF6"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6BED51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2010F8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DBE38EF"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59B292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C87830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5BAA206"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33E68B0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E709D5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15171A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1C827D26"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38781FDF" w14:textId="77777777" w:rsidTr="007507DC">
        <w:trPr>
          <w:trHeight w:val="1051"/>
        </w:trPr>
        <w:tc>
          <w:tcPr>
            <w:tcW w:w="35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775F259"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6</w:t>
            </w:r>
          </w:p>
        </w:tc>
        <w:tc>
          <w:tcPr>
            <w:tcW w:w="935"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72DF03D7"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70A3423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International Consultants to support Output 3.1.4. Total </w:t>
            </w:r>
            <w:r w:rsidRPr="00AC0422">
              <w:rPr>
                <w:rFonts w:asciiTheme="minorHAnsi" w:eastAsia="Times New Roman" w:hAnsiTheme="minorHAnsi" w:cstheme="minorHAnsi"/>
                <w:b/>
                <w:bCs/>
                <w:sz w:val="18"/>
                <w:szCs w:val="18"/>
                <w:lang w:val="en-CA"/>
              </w:rPr>
              <w:t>76 days</w:t>
            </w:r>
            <w:r w:rsidRPr="00AC0422">
              <w:rPr>
                <w:rFonts w:asciiTheme="minorHAnsi" w:eastAsia="Times New Roman" w:hAnsiTheme="minorHAnsi" w:cstheme="minorHAnsi"/>
                <w:sz w:val="18"/>
                <w:szCs w:val="18"/>
                <w:lang w:val="en-CA"/>
              </w:rPr>
              <w:t xml:space="preserve"> @ $500 USD/day: Institutional Capacity Development Specialist (Team Lead) - 50 days; Climate Change Adaptation Specialist - 26 days;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2F520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2C69C21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38,000.00 </w:t>
            </w:r>
          </w:p>
        </w:tc>
        <w:tc>
          <w:tcPr>
            <w:tcW w:w="110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70488C8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2A44078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0EE0F8CC"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7B5532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848"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3244872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0A0146D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N</w:t>
            </w:r>
          </w:p>
        </w:tc>
        <w:tc>
          <w:tcPr>
            <w:tcW w:w="319" w:type="dxa"/>
            <w:tcBorders>
              <w:top w:val="nil"/>
              <w:left w:val="nil"/>
              <w:bottom w:val="nil"/>
              <w:right w:val="nil"/>
            </w:tcBorders>
            <w:shd w:val="clear" w:color="000000" w:fill="FFFFFF"/>
            <w:noWrap/>
            <w:vAlign w:val="bottom"/>
            <w:hideMark/>
          </w:tcPr>
          <w:p w14:paraId="6E07B35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B00AB41"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D9E1F2" w:fill="D9E1F2"/>
            <w:noWrap/>
            <w:vAlign w:val="center"/>
            <w:hideMark/>
          </w:tcPr>
          <w:p w14:paraId="736B6CE0"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6</w:t>
            </w:r>
          </w:p>
        </w:tc>
        <w:tc>
          <w:tcPr>
            <w:tcW w:w="93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7B3CB66C"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632F406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26C669F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24DAF0B5"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7E51256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0A148523"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50444357"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65D8403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34244F2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D9E1F2" w:fill="D9E1F2"/>
            <w:noWrap/>
            <w:vAlign w:val="center"/>
            <w:hideMark/>
          </w:tcPr>
          <w:p w14:paraId="6FFC73F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42F98F7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B990AD9"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3B6C835"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6</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762B9329"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0B97A0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68BABE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74F51DB"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9040AA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B1ACA6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DD350F9"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ED6107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5434F7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024B9F8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2A34EDF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9B65FC4" w14:textId="77777777" w:rsidTr="007507DC">
        <w:trPr>
          <w:trHeight w:val="1598"/>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4941FE93"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7</w:t>
            </w:r>
          </w:p>
        </w:tc>
        <w:tc>
          <w:tcPr>
            <w:tcW w:w="935" w:type="dxa"/>
            <w:tcBorders>
              <w:top w:val="single" w:sz="8" w:space="0" w:color="auto"/>
              <w:left w:val="single" w:sz="4" w:space="0" w:color="auto"/>
              <w:bottom w:val="single" w:sz="4" w:space="0" w:color="auto"/>
              <w:right w:val="single" w:sz="4" w:space="0" w:color="auto"/>
            </w:tcBorders>
            <w:shd w:val="clear" w:color="D9E1F2" w:fill="D9E1F2"/>
            <w:noWrap/>
            <w:vAlign w:val="bottom"/>
            <w:hideMark/>
          </w:tcPr>
          <w:p w14:paraId="03D01BC8"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1C67AF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Local Experts to Support Output 3.14. Total </w:t>
            </w:r>
            <w:r w:rsidRPr="00AC0422">
              <w:rPr>
                <w:rFonts w:asciiTheme="minorHAnsi" w:eastAsia="Times New Roman" w:hAnsiTheme="minorHAnsi" w:cstheme="minorHAnsi"/>
                <w:b/>
                <w:bCs/>
                <w:sz w:val="18"/>
                <w:szCs w:val="18"/>
                <w:lang w:val="en-CA"/>
              </w:rPr>
              <w:t>546</w:t>
            </w:r>
            <w:r w:rsidRPr="00AC0422">
              <w:rPr>
                <w:rFonts w:asciiTheme="minorHAnsi" w:eastAsia="Times New Roman" w:hAnsiTheme="minorHAnsi" w:cstheme="minorHAnsi"/>
                <w:sz w:val="18"/>
                <w:szCs w:val="18"/>
                <w:lang w:val="en-CA"/>
              </w:rPr>
              <w:t xml:space="preserve"> days @ $200 USD/day: Institutional Capacity Development Expert - 60 days; Policy and Governance Expert - 30 days; Training Specialist - 40 days; Stakeholder Engagement Specialist - 99 days; Monitoring and Evaluation (M&amp;E) Specialist - 25 days; Communication Specialist (Team Lead) - 74 days; Media and Content Developer - 30 days; Community Mobilizer - 30 days; Graphic Designer - 20 days; Awareness Raising Expert (Team Lead) - 64 days; Logistics coordinator - 24 days; Data Analyst - 30 days; Report writer - 20 days</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668D94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4F6480C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109,200.00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DAD92D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66E7D4B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66D865AB"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16C12E4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C186B5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1FDB193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O</w:t>
            </w:r>
          </w:p>
        </w:tc>
        <w:tc>
          <w:tcPr>
            <w:tcW w:w="319" w:type="dxa"/>
            <w:tcBorders>
              <w:top w:val="nil"/>
              <w:left w:val="nil"/>
              <w:bottom w:val="nil"/>
              <w:right w:val="nil"/>
            </w:tcBorders>
            <w:shd w:val="clear" w:color="000000" w:fill="FFFFFF"/>
            <w:noWrap/>
            <w:vAlign w:val="bottom"/>
            <w:hideMark/>
          </w:tcPr>
          <w:p w14:paraId="33630B5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010CFF96"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484E2A1"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7</w:t>
            </w:r>
          </w:p>
        </w:tc>
        <w:tc>
          <w:tcPr>
            <w:tcW w:w="9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F72110"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BBC563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343D83E"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CCB83B5"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688B80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607E4F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7E6BE93"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A2A031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8C6571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7C07C1E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0A5BB3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FE6505F"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6AB5CA99"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7</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5B2A36C2"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D839A5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CC53B6C"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5857812"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C5C429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A72DAC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3406BF9"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97AFB3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E04129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1D4A321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4270E3F7"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0E1AB7C4" w14:textId="77777777" w:rsidTr="007507DC">
        <w:trPr>
          <w:trHeight w:val="1051"/>
        </w:trPr>
        <w:tc>
          <w:tcPr>
            <w:tcW w:w="35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41A63DF4"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lastRenderedPageBreak/>
              <w:t>8</w:t>
            </w:r>
          </w:p>
        </w:tc>
        <w:tc>
          <w:tcPr>
            <w:tcW w:w="935"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21A393A2"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1B63671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Firm to Conduct awareness surveys at the start, midpoint, and end of the project to measure the level and evolution of awareness on climate change and </w:t>
            </w:r>
            <w:proofErr w:type="spellStart"/>
            <w:proofErr w:type="gramStart"/>
            <w:r w:rsidRPr="00AC0422">
              <w:rPr>
                <w:rFonts w:asciiTheme="minorHAnsi" w:eastAsia="Times New Roman" w:hAnsiTheme="minorHAnsi" w:cstheme="minorHAnsi"/>
                <w:sz w:val="18"/>
                <w:szCs w:val="18"/>
                <w:lang w:val="en-CA"/>
              </w:rPr>
              <w:t>adaptation.See</w:t>
            </w:r>
            <w:proofErr w:type="spellEnd"/>
            <w:proofErr w:type="gramEnd"/>
            <w:r w:rsidRPr="00AC0422">
              <w:rPr>
                <w:rFonts w:asciiTheme="minorHAnsi" w:eastAsia="Times New Roman" w:hAnsiTheme="minorHAnsi" w:cstheme="minorHAnsi"/>
                <w:sz w:val="18"/>
                <w:szCs w:val="18"/>
                <w:lang w:val="en-CA"/>
              </w:rPr>
              <w:t xml:space="preserve"> Budget Note "R"</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76FB3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(Professional Firms)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2290D56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45,000.00 </w:t>
            </w:r>
          </w:p>
        </w:tc>
        <w:tc>
          <w:tcPr>
            <w:tcW w:w="110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2957E1D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RFQ</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2B8057B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75B0DF90"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1D7D955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848"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75D7185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57CEF8A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R</w:t>
            </w:r>
          </w:p>
        </w:tc>
        <w:tc>
          <w:tcPr>
            <w:tcW w:w="319" w:type="dxa"/>
            <w:tcBorders>
              <w:top w:val="nil"/>
              <w:left w:val="nil"/>
              <w:bottom w:val="nil"/>
              <w:right w:val="nil"/>
            </w:tcBorders>
            <w:shd w:val="clear" w:color="000000" w:fill="FFFFFF"/>
            <w:noWrap/>
            <w:vAlign w:val="bottom"/>
            <w:hideMark/>
          </w:tcPr>
          <w:p w14:paraId="3A273B4C"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764CCD7"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D9E1F2" w:fill="D9E1F2"/>
            <w:noWrap/>
            <w:vAlign w:val="center"/>
            <w:hideMark/>
          </w:tcPr>
          <w:p w14:paraId="320895EC"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8</w:t>
            </w:r>
          </w:p>
        </w:tc>
        <w:tc>
          <w:tcPr>
            <w:tcW w:w="93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0E6C4FA9"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6C38C07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583C664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202D8658"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0D87A6C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2816CF3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0E18CC39"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685F6C9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2FD6AEE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D9E1F2" w:fill="D9E1F2"/>
            <w:noWrap/>
            <w:vAlign w:val="center"/>
            <w:hideMark/>
          </w:tcPr>
          <w:p w14:paraId="5A01CFE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1290C867"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2E181A7"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51134180"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8</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6AC4ACD4"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6273F5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AB5F63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1B4C294"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E996C9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EE90D3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DABED30"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7B722D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7C0EBE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0F2797B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7CF37522"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9485AB8" w14:textId="77777777" w:rsidTr="007507DC">
        <w:trPr>
          <w:trHeight w:val="1091"/>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4037B783"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9</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3488003F"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07E3AB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International Consultants to support Output 3.2.1. Total </w:t>
            </w:r>
            <w:r w:rsidRPr="00AC0422">
              <w:rPr>
                <w:rFonts w:asciiTheme="minorHAnsi" w:eastAsia="Times New Roman" w:hAnsiTheme="minorHAnsi" w:cstheme="minorHAnsi"/>
                <w:b/>
                <w:bCs/>
                <w:sz w:val="18"/>
                <w:szCs w:val="18"/>
                <w:lang w:val="en-CA"/>
              </w:rPr>
              <w:t>124</w:t>
            </w:r>
            <w:r w:rsidRPr="00AC0422">
              <w:rPr>
                <w:rFonts w:asciiTheme="minorHAnsi" w:eastAsia="Times New Roman" w:hAnsiTheme="minorHAnsi" w:cstheme="minorHAnsi"/>
                <w:sz w:val="18"/>
                <w:szCs w:val="18"/>
                <w:lang w:val="en-CA"/>
              </w:rPr>
              <w:t xml:space="preserve"> days @ $500 USD/day: M&amp;E Specialist (Team Lead) - 104 days; Climate change adaptation Expert - 20 days;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59E6EE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0A12065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62,000.00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088F5D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14C1D9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7017CD4B"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C2BB33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387910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52D2EAD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S</w:t>
            </w:r>
          </w:p>
        </w:tc>
        <w:tc>
          <w:tcPr>
            <w:tcW w:w="319" w:type="dxa"/>
            <w:tcBorders>
              <w:top w:val="nil"/>
              <w:left w:val="nil"/>
              <w:bottom w:val="nil"/>
              <w:right w:val="nil"/>
            </w:tcBorders>
            <w:shd w:val="clear" w:color="000000" w:fill="FFFFFF"/>
            <w:noWrap/>
            <w:vAlign w:val="bottom"/>
            <w:hideMark/>
          </w:tcPr>
          <w:p w14:paraId="00892B22"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38005A9"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57CD147E"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9</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71980E55"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16AD25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A13DFAC"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7788666"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5C8EAB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7E2663F"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37955F4"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0E34E0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B353AF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2423AFB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81973E6"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DEBCF2B"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71660CB1"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9</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7301DC82"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9754AF5"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3C969D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0EEA9A9"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EEF8D9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717A17C"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09B04C3"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6128A3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04CACC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788E325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22E868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8DAE993" w14:textId="77777777" w:rsidTr="007507DC">
        <w:trPr>
          <w:trHeight w:val="1335"/>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A779490"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10</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088B5765"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4A4739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Local Experts to support Output 3.2.1. Total 415 days @ $200 USD/day: Gender and Social Inclusion Specialist - 30; Sectoral Climate Adaptation Specialists - 120 days; Data Analyst - 60 days; Technical Writer - 65 days; Stakeholder Engagement Specialist - 60 days; Training Specialist (Team Lead) - 30 days; Software/Web </w:t>
            </w:r>
            <w:proofErr w:type="spellStart"/>
            <w:r w:rsidRPr="00AC0422">
              <w:rPr>
                <w:rFonts w:asciiTheme="minorHAnsi" w:eastAsia="Times New Roman" w:hAnsiTheme="minorHAnsi" w:cstheme="minorHAnsi"/>
                <w:sz w:val="18"/>
                <w:szCs w:val="18"/>
                <w:lang w:val="en-CA"/>
              </w:rPr>
              <w:t>Dveloper</w:t>
            </w:r>
            <w:proofErr w:type="spellEnd"/>
            <w:r w:rsidRPr="00AC0422">
              <w:rPr>
                <w:rFonts w:asciiTheme="minorHAnsi" w:eastAsia="Times New Roman" w:hAnsiTheme="minorHAnsi" w:cstheme="minorHAnsi"/>
                <w:sz w:val="18"/>
                <w:szCs w:val="18"/>
                <w:lang w:val="en-CA"/>
              </w:rPr>
              <w:t xml:space="preserve"> - 10 days; Knowledge Management Specialist (Team Lead) - 30 days; Facilitator (Team Lead) - 5 days; Logistics Coordinator - 5 days</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3F24C2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160632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83,000.00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9C80FE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0B17EB9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2FB6AAE5"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0DC6EA4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315C25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14CE423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T</w:t>
            </w:r>
          </w:p>
        </w:tc>
        <w:tc>
          <w:tcPr>
            <w:tcW w:w="319" w:type="dxa"/>
            <w:tcBorders>
              <w:top w:val="nil"/>
              <w:left w:val="nil"/>
              <w:bottom w:val="nil"/>
              <w:right w:val="nil"/>
            </w:tcBorders>
            <w:shd w:val="clear" w:color="000000" w:fill="FFFFFF"/>
            <w:noWrap/>
            <w:vAlign w:val="bottom"/>
            <w:hideMark/>
          </w:tcPr>
          <w:p w14:paraId="47CE854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347C6C18"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613F99DF"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10</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5FFEE84F"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12318E8"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A7F5FF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39043FF"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08D3DE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58C2CC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D9E4C58"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CE3B07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5F4F58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17B4BE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621AAD6F"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7506B8F"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244B965C"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10</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02D3FF66"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9F99378"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69B2AE8"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9C9B543"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A3BA0E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C98CEC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D40A03A"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34F89F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D6BB73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1860C2E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322C0EF"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10400A0A" w14:textId="77777777" w:rsidTr="007507DC">
        <w:trPr>
          <w:trHeight w:val="1107"/>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633B4BE0"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lastRenderedPageBreak/>
              <w:t>11</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74DAC509"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7C5E35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Professional Services Company of Software/web Developers to develop the technical components of the M&amp;E system, ensuring seamless integration with the NAP Portal and user accessibility. See Budget note "U"</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DAFE1E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(Professional Firms)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6F7AAF4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50,000.00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0A294B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RFQ</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082F7E8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2114EEC9"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3B19594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682E4D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7691E31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U</w:t>
            </w:r>
          </w:p>
        </w:tc>
        <w:tc>
          <w:tcPr>
            <w:tcW w:w="319" w:type="dxa"/>
            <w:tcBorders>
              <w:top w:val="nil"/>
              <w:left w:val="nil"/>
              <w:bottom w:val="nil"/>
              <w:right w:val="nil"/>
            </w:tcBorders>
            <w:shd w:val="clear" w:color="000000" w:fill="FFFFFF"/>
            <w:noWrap/>
            <w:vAlign w:val="bottom"/>
            <w:hideMark/>
          </w:tcPr>
          <w:p w14:paraId="55C20B80"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0D03B5B"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03CDE1A0"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11</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0C556F40"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4999F9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48C9702"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08A0D2E"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B28754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A28F1C7"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FD01ADD"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DA3534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DBE66B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6C78575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FBBC06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60C3E438"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0F81DE0A"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11</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042FE028"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BB70CB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86E919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4D3CC35"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C4DE73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3AD1522"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2108A80"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F9E1F7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02A500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24D0C0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0D399E6"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F71170A" w14:textId="77777777" w:rsidTr="007507DC">
        <w:trPr>
          <w:trHeight w:val="1860"/>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5617261D"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12</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511E0458"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7998DB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International Consultants to support Output 3.2.2. Total </w:t>
            </w:r>
            <w:r w:rsidRPr="00AC0422">
              <w:rPr>
                <w:rFonts w:asciiTheme="minorHAnsi" w:eastAsia="Times New Roman" w:hAnsiTheme="minorHAnsi" w:cstheme="minorHAnsi"/>
                <w:b/>
                <w:bCs/>
                <w:sz w:val="18"/>
                <w:szCs w:val="18"/>
                <w:lang w:val="en-CA"/>
              </w:rPr>
              <w:t>700</w:t>
            </w:r>
            <w:r w:rsidRPr="00AC0422">
              <w:rPr>
                <w:rFonts w:asciiTheme="minorHAnsi" w:eastAsia="Times New Roman" w:hAnsiTheme="minorHAnsi" w:cstheme="minorHAnsi"/>
                <w:sz w:val="18"/>
                <w:szCs w:val="18"/>
                <w:lang w:val="en-CA"/>
              </w:rPr>
              <w:t xml:space="preserve"> days @ $600 USD/day: Climate Modeler (Team Lead) - 60 days; International team of Climate Modellers, Hydrologist, Meteorologist, GIS Expert, Data Modelling expert) - 180 days; Climate multi-hazard and risk modelling and mapping expert/risk assessment expert (Team Lead) - 60 days; Hydrologist/multi-hazard modelling expert - 60 days; GIS Specialist - 30 days; Socio-economics Expert - 40 days; Procurement Specialist (Team Lead) - 30 days; Climate Data Specialist (team lead) - 60 days; IT Systems Architect - 80 days; Software Developer - 80 days; Data Integration Specialist - 30 days; Software Developer - 20 days</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8DDA47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9FAD83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456,000.00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745D3A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1CD4A7E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253AD9CF"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DC2A23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ED5941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Q3</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329ED8C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Z</w:t>
            </w:r>
          </w:p>
        </w:tc>
        <w:tc>
          <w:tcPr>
            <w:tcW w:w="319" w:type="dxa"/>
            <w:tcBorders>
              <w:top w:val="nil"/>
              <w:left w:val="nil"/>
              <w:bottom w:val="nil"/>
              <w:right w:val="nil"/>
            </w:tcBorders>
            <w:shd w:val="clear" w:color="000000" w:fill="FFFFFF"/>
            <w:noWrap/>
            <w:vAlign w:val="bottom"/>
            <w:hideMark/>
          </w:tcPr>
          <w:p w14:paraId="12EDFF8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329250E"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408DC688"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12</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1A061877"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6E5448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482CAD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8AC147D"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C9AC15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7F8472E"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ACF6D01"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7295892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DBC0D3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6254B61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66DACE4C"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7D4A3CD"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0C7F7610"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12</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10E0ED8D"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005F45F"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F7C923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90125B1"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C0F9A2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D9942AD"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B9FBA65"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9BE7C7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6BBA083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5ADB2E0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2580C36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04635DCB" w14:textId="77777777" w:rsidTr="007507DC">
        <w:trPr>
          <w:trHeight w:val="1759"/>
        </w:trPr>
        <w:tc>
          <w:tcPr>
            <w:tcW w:w="359" w:type="dxa"/>
            <w:tcBorders>
              <w:top w:val="single" w:sz="8" w:space="0" w:color="auto"/>
              <w:left w:val="single" w:sz="8" w:space="0" w:color="auto"/>
              <w:bottom w:val="single" w:sz="4" w:space="0" w:color="auto"/>
              <w:right w:val="single" w:sz="4" w:space="0" w:color="auto"/>
            </w:tcBorders>
            <w:shd w:val="clear" w:color="D9E1F2" w:fill="D9E1F2"/>
            <w:noWrap/>
            <w:vAlign w:val="center"/>
            <w:hideMark/>
          </w:tcPr>
          <w:p w14:paraId="139CCC76"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lastRenderedPageBreak/>
              <w:t>13</w:t>
            </w:r>
          </w:p>
        </w:tc>
        <w:tc>
          <w:tcPr>
            <w:tcW w:w="935" w:type="dxa"/>
            <w:tcBorders>
              <w:top w:val="single" w:sz="8" w:space="0" w:color="auto"/>
              <w:left w:val="single" w:sz="4" w:space="0" w:color="auto"/>
              <w:bottom w:val="single" w:sz="4" w:space="0" w:color="auto"/>
              <w:right w:val="single" w:sz="4" w:space="0" w:color="auto"/>
            </w:tcBorders>
            <w:shd w:val="clear" w:color="D9E1F2" w:fill="D9E1F2"/>
            <w:noWrap/>
            <w:vAlign w:val="bottom"/>
            <w:hideMark/>
          </w:tcPr>
          <w:p w14:paraId="015C8E4F"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6CC0C1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Local Experts to support Output 3.2.2. Total 885 days @ $250 USD/day: Hydrologist - 60 days; Meteorologist - 145 days; Data Analyst - 120 days; Facilitator - 20 days; Stakeholder Engagement Specialist - 60 days; GIS Analyst/</w:t>
            </w:r>
            <w:proofErr w:type="spellStart"/>
            <w:r w:rsidRPr="00AC0422">
              <w:rPr>
                <w:rFonts w:asciiTheme="minorHAnsi" w:eastAsia="Times New Roman" w:hAnsiTheme="minorHAnsi" w:cstheme="minorHAnsi"/>
                <w:sz w:val="18"/>
                <w:szCs w:val="18"/>
                <w:lang w:val="en-CA"/>
              </w:rPr>
              <w:t>Speciaist</w:t>
            </w:r>
            <w:proofErr w:type="spellEnd"/>
            <w:r w:rsidRPr="00AC0422">
              <w:rPr>
                <w:rFonts w:asciiTheme="minorHAnsi" w:eastAsia="Times New Roman" w:hAnsiTheme="minorHAnsi" w:cstheme="minorHAnsi"/>
                <w:sz w:val="18"/>
                <w:szCs w:val="18"/>
                <w:lang w:val="en-CA"/>
              </w:rPr>
              <w:t xml:space="preserve"> - 85 days; Sectoral Experts (Water, Agriculture, Coastal Zones, Health) - 180 days; Technical Writer - 30 days; Climate Data Specialist - 25 days; Monitoring and Evaluation (M&amp;E) Specialist - 50 days;  Communication Specialist - 30 days; Graphic Designer - 80 days;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6CF8D2A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0B739F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221,250.00 </w:t>
            </w:r>
          </w:p>
        </w:tc>
        <w:tc>
          <w:tcPr>
            <w:tcW w:w="1107" w:type="dxa"/>
            <w:tcBorders>
              <w:top w:val="single" w:sz="4" w:space="0" w:color="8EA9DB"/>
              <w:left w:val="nil"/>
              <w:bottom w:val="single" w:sz="4" w:space="0" w:color="8EA9DB"/>
              <w:right w:val="nil"/>
            </w:tcBorders>
            <w:shd w:val="clear" w:color="D9E1F2" w:fill="D9E1F2"/>
            <w:vAlign w:val="center"/>
            <w:hideMark/>
          </w:tcPr>
          <w:p w14:paraId="3037DA5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69C080D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191AAEC4"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FAF4AB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848"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72D1A96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705C3E8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AA</w:t>
            </w:r>
          </w:p>
        </w:tc>
        <w:tc>
          <w:tcPr>
            <w:tcW w:w="319" w:type="dxa"/>
            <w:tcBorders>
              <w:top w:val="nil"/>
              <w:left w:val="nil"/>
              <w:bottom w:val="nil"/>
              <w:right w:val="nil"/>
            </w:tcBorders>
            <w:shd w:val="clear" w:color="000000" w:fill="FFFFFF"/>
            <w:noWrap/>
            <w:vAlign w:val="bottom"/>
            <w:hideMark/>
          </w:tcPr>
          <w:p w14:paraId="1DD80C7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0CA14CB"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7311F46F"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13</w:t>
            </w:r>
          </w:p>
        </w:tc>
        <w:tc>
          <w:tcPr>
            <w:tcW w:w="9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DB2F4D"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B262E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883DA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B15F45"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A0B7B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B5365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32E88"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CD96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3DB8A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14:paraId="2EE2F11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348895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A92DDBE"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038C7416"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13</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3E4E1648"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4B99B07"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F7D315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0DA8942"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AD07AB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B00EB9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D59E3C8"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C843BC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7F6567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06052A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7A506DD7"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1F3E3FC" w14:textId="77777777" w:rsidTr="007507DC">
        <w:trPr>
          <w:trHeight w:val="1314"/>
        </w:trPr>
        <w:tc>
          <w:tcPr>
            <w:tcW w:w="35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6F51BFFA"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14</w:t>
            </w:r>
          </w:p>
        </w:tc>
        <w:tc>
          <w:tcPr>
            <w:tcW w:w="935"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2E3EC0B3"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387355A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Procurement of data for climate projects downscaling (Licensing and acquisition of high-resolution GCM/RCM data, hydrological data, and satellite imagery. Example sources: Copernicus, ECMWF, commercial providers - $80,000; Preprocessing and cleaning data for compatibility with downscaling models. Includes data integration for climate and hydrological models - $30,000; Contingency Allowance for unforeseen costs during data procurement, processing, or training - $13,000.</w:t>
            </w:r>
          </w:p>
        </w:tc>
        <w:tc>
          <w:tcPr>
            <w:tcW w:w="9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A93A6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Goods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632B31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143,000.00 </w:t>
            </w:r>
          </w:p>
        </w:tc>
        <w:tc>
          <w:tcPr>
            <w:tcW w:w="1107" w:type="dxa"/>
            <w:tcBorders>
              <w:top w:val="single" w:sz="4" w:space="0" w:color="8EA9DB"/>
              <w:left w:val="nil"/>
              <w:bottom w:val="single" w:sz="4" w:space="0" w:color="8EA9DB"/>
              <w:right w:val="nil"/>
            </w:tcBorders>
            <w:shd w:val="clear" w:color="auto" w:fill="auto"/>
            <w:vAlign w:val="center"/>
            <w:hideMark/>
          </w:tcPr>
          <w:p w14:paraId="420CAD1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RFQ</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7B58B58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1539C189"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3C25A0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848"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3205377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0D2D46B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AC</w:t>
            </w:r>
          </w:p>
        </w:tc>
        <w:tc>
          <w:tcPr>
            <w:tcW w:w="319" w:type="dxa"/>
            <w:tcBorders>
              <w:top w:val="nil"/>
              <w:left w:val="nil"/>
              <w:bottom w:val="nil"/>
              <w:right w:val="nil"/>
            </w:tcBorders>
            <w:shd w:val="clear" w:color="000000" w:fill="FFFFFF"/>
            <w:noWrap/>
            <w:vAlign w:val="bottom"/>
            <w:hideMark/>
          </w:tcPr>
          <w:p w14:paraId="1CFEB1B3"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18741871" w14:textId="77777777" w:rsidTr="007507DC">
        <w:trPr>
          <w:trHeight w:val="282"/>
        </w:trPr>
        <w:tc>
          <w:tcPr>
            <w:tcW w:w="359" w:type="dxa"/>
            <w:tcBorders>
              <w:top w:val="single" w:sz="4" w:space="0" w:color="auto"/>
              <w:left w:val="single" w:sz="8" w:space="0" w:color="auto"/>
              <w:bottom w:val="single" w:sz="4" w:space="0" w:color="auto"/>
              <w:right w:val="single" w:sz="4" w:space="0" w:color="auto"/>
            </w:tcBorders>
            <w:shd w:val="clear" w:color="D9E1F2" w:fill="D9E1F2"/>
            <w:noWrap/>
            <w:vAlign w:val="center"/>
            <w:hideMark/>
          </w:tcPr>
          <w:p w14:paraId="347E3116"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14</w:t>
            </w:r>
          </w:p>
        </w:tc>
        <w:tc>
          <w:tcPr>
            <w:tcW w:w="93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682DDA1A"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421511BA"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3D55F73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25F8FED9"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5C55A1D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5C2DF112"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69861C13"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58EFEB4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D9E1F2" w:fill="D9E1F2"/>
            <w:noWrap/>
            <w:vAlign w:val="center"/>
            <w:hideMark/>
          </w:tcPr>
          <w:p w14:paraId="0720FB1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4" w:space="0" w:color="auto"/>
              <w:right w:val="single" w:sz="8" w:space="0" w:color="auto"/>
            </w:tcBorders>
            <w:shd w:val="clear" w:color="D9E1F2" w:fill="D9E1F2"/>
            <w:noWrap/>
            <w:vAlign w:val="center"/>
            <w:hideMark/>
          </w:tcPr>
          <w:p w14:paraId="174DC9C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1E43572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0153DDB"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38DA5848"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lastRenderedPageBreak/>
              <w:t>14</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2B798299"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F93E32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77E122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A8B4AD7"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CC310C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2680AC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C72FFC9"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62CBAD6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AC7BA6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1B4702E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E46E03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E86A02D" w14:textId="77777777" w:rsidTr="007507DC">
        <w:trPr>
          <w:trHeight w:val="545"/>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59F2CF27"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15</w:t>
            </w:r>
          </w:p>
        </w:tc>
        <w:tc>
          <w:tcPr>
            <w:tcW w:w="935" w:type="dxa"/>
            <w:tcBorders>
              <w:top w:val="single" w:sz="8" w:space="0" w:color="auto"/>
              <w:left w:val="single" w:sz="4" w:space="0" w:color="auto"/>
              <w:bottom w:val="single" w:sz="4" w:space="0" w:color="auto"/>
              <w:right w:val="single" w:sz="4" w:space="0" w:color="auto"/>
            </w:tcBorders>
            <w:shd w:val="clear" w:color="D9E1F2" w:fill="D9E1F2"/>
            <w:noWrap/>
            <w:vAlign w:val="bottom"/>
            <w:hideMark/>
          </w:tcPr>
          <w:p w14:paraId="5301E7C7"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B25AA9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Procurement or licensing of software such as WRF, PRECIS, or GIS tools for statistical or dynamic downscaling - $20,000;</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F0F236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Goods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42CDDC2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20,000.00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E8333F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RFQ</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3A6E1B6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2D1DCB3B"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6B0A729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ADB1B1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Q4</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12AB348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AD</w:t>
            </w:r>
          </w:p>
        </w:tc>
        <w:tc>
          <w:tcPr>
            <w:tcW w:w="319" w:type="dxa"/>
            <w:tcBorders>
              <w:top w:val="nil"/>
              <w:left w:val="nil"/>
              <w:bottom w:val="nil"/>
              <w:right w:val="nil"/>
            </w:tcBorders>
            <w:shd w:val="clear" w:color="000000" w:fill="FFFFFF"/>
            <w:noWrap/>
            <w:vAlign w:val="bottom"/>
            <w:hideMark/>
          </w:tcPr>
          <w:p w14:paraId="4D0AB320"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FAC8661"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7DBBB81C"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15</w:t>
            </w:r>
          </w:p>
        </w:tc>
        <w:tc>
          <w:tcPr>
            <w:tcW w:w="9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92FB3E"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2BD30C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F03E43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3569068"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AEEC6D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54DFC0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BCA1938"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336454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40B5BC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72CDA01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5844DE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0F507DD"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28AC28AE"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15</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6FA17532"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01A0523"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143E0DD"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4164D42"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69EC80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46D63D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39C86D2"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6ED245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297253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0B7ACCF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116562F"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3465F913" w14:textId="77777777" w:rsidTr="007507DC">
        <w:trPr>
          <w:trHeight w:val="1071"/>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33B8B5E"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16</w:t>
            </w:r>
          </w:p>
        </w:tc>
        <w:tc>
          <w:tcPr>
            <w:tcW w:w="935"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14:paraId="7E5E7188"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8366D3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International </w:t>
            </w:r>
            <w:proofErr w:type="spellStart"/>
            <w:r w:rsidRPr="00AC0422">
              <w:rPr>
                <w:rFonts w:asciiTheme="minorHAnsi" w:eastAsia="Times New Roman" w:hAnsiTheme="minorHAnsi" w:cstheme="minorHAnsi"/>
                <w:sz w:val="18"/>
                <w:szCs w:val="18"/>
                <w:lang w:val="en-CA"/>
              </w:rPr>
              <w:t>Consultantsto</w:t>
            </w:r>
            <w:proofErr w:type="spellEnd"/>
            <w:r w:rsidRPr="00AC0422">
              <w:rPr>
                <w:rFonts w:asciiTheme="minorHAnsi" w:eastAsia="Times New Roman" w:hAnsiTheme="minorHAnsi" w:cstheme="minorHAnsi"/>
                <w:sz w:val="18"/>
                <w:szCs w:val="18"/>
                <w:lang w:val="en-CA"/>
              </w:rPr>
              <w:t xml:space="preserve"> support Output 3.4.2. Total</w:t>
            </w:r>
            <w:r w:rsidRPr="00AC0422">
              <w:rPr>
                <w:rFonts w:asciiTheme="minorHAnsi" w:eastAsia="Times New Roman" w:hAnsiTheme="minorHAnsi" w:cstheme="minorHAnsi"/>
                <w:b/>
                <w:bCs/>
                <w:sz w:val="18"/>
                <w:szCs w:val="18"/>
                <w:lang w:val="en-CA"/>
              </w:rPr>
              <w:t xml:space="preserve"> 200</w:t>
            </w:r>
            <w:r w:rsidRPr="00AC0422">
              <w:rPr>
                <w:rFonts w:asciiTheme="minorHAnsi" w:eastAsia="Times New Roman" w:hAnsiTheme="minorHAnsi" w:cstheme="minorHAnsi"/>
                <w:sz w:val="18"/>
                <w:szCs w:val="18"/>
                <w:lang w:val="en-CA"/>
              </w:rPr>
              <w:t xml:space="preserve"> days @ $500 USD/day: Project Formulation Expert/Climate Adaptation Specialist/Climate Finance Specialist (Team Lead) - 30 days; International Sectoral Experts (Water, agriculture, Coastal Zones, Health) - 120 days; Socio-Economist/Analyst - 25 days; Social and Environmental Impact/Safeguards Specialist - 25 days;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B078AC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B64B56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100,000.00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19150C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7ED5640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5B6BF434"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784529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Y3Q1</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A626E8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Y3Q1</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7D37504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AE</w:t>
            </w:r>
          </w:p>
        </w:tc>
        <w:tc>
          <w:tcPr>
            <w:tcW w:w="319" w:type="dxa"/>
            <w:tcBorders>
              <w:top w:val="nil"/>
              <w:left w:val="nil"/>
              <w:bottom w:val="nil"/>
              <w:right w:val="nil"/>
            </w:tcBorders>
            <w:shd w:val="clear" w:color="000000" w:fill="FFFFFF"/>
            <w:noWrap/>
            <w:vAlign w:val="bottom"/>
            <w:hideMark/>
          </w:tcPr>
          <w:p w14:paraId="4E0F1A0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8C40CFC"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47111DC7"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16</w:t>
            </w:r>
          </w:p>
        </w:tc>
        <w:tc>
          <w:tcPr>
            <w:tcW w:w="93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76B026E5"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ED10398"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383C75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1834EBD"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570855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8B87542"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7773B38"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427AFC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190513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5888B3F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F6C4C9E"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CFE53FF"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2432F33E"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16</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51AA673E"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1478793"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028C1E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6A3C144"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33A1B5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73754A3"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0B6B301"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BFDF34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686A89F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5A3B91C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3A54A9AE"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173C6AF" w14:textId="77777777" w:rsidTr="007507DC">
        <w:trPr>
          <w:trHeight w:val="1335"/>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23E94B09"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17</w:t>
            </w:r>
          </w:p>
        </w:tc>
        <w:tc>
          <w:tcPr>
            <w:tcW w:w="935" w:type="dxa"/>
            <w:tcBorders>
              <w:top w:val="single" w:sz="8" w:space="0" w:color="auto"/>
              <w:left w:val="single" w:sz="4" w:space="0" w:color="auto"/>
              <w:bottom w:val="single" w:sz="4" w:space="0" w:color="auto"/>
              <w:right w:val="single" w:sz="4" w:space="0" w:color="auto"/>
            </w:tcBorders>
            <w:shd w:val="clear" w:color="D9E1F2" w:fill="D9E1F2"/>
            <w:noWrap/>
            <w:vAlign w:val="bottom"/>
            <w:hideMark/>
          </w:tcPr>
          <w:p w14:paraId="47F0533D"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9B6232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Local Experts to support Output 4.3.2. Total</w:t>
            </w:r>
            <w:r w:rsidRPr="00AC0422">
              <w:rPr>
                <w:rFonts w:asciiTheme="minorHAnsi" w:eastAsia="Times New Roman" w:hAnsiTheme="minorHAnsi" w:cstheme="minorHAnsi"/>
                <w:b/>
                <w:bCs/>
                <w:sz w:val="18"/>
                <w:szCs w:val="18"/>
                <w:lang w:val="en-CA"/>
              </w:rPr>
              <w:t xml:space="preserve"> 465</w:t>
            </w:r>
            <w:r w:rsidRPr="00AC0422">
              <w:rPr>
                <w:rFonts w:asciiTheme="minorHAnsi" w:eastAsia="Times New Roman" w:hAnsiTheme="minorHAnsi" w:cstheme="minorHAnsi"/>
                <w:sz w:val="18"/>
                <w:szCs w:val="18"/>
                <w:lang w:val="en-CA"/>
              </w:rPr>
              <w:t xml:space="preserve"> days @ $200 USD/day:  Sectoral Experts (Water, Agriculture, Coastal Zones, Health) - 240 days; Policy and Governance Expert - 10 days; Data Analyst - 45 days; Gender and Social Inclusion Specialist - 45 days; Monitoring and Evaluation (M&amp;E) Specialist - 10 days; Stakeholder Engagement Specialist - 30 days; Climate </w:t>
            </w:r>
            <w:r w:rsidRPr="00AC0422">
              <w:rPr>
                <w:rFonts w:asciiTheme="minorHAnsi" w:eastAsia="Times New Roman" w:hAnsiTheme="minorHAnsi" w:cstheme="minorHAnsi"/>
                <w:sz w:val="18"/>
                <w:szCs w:val="18"/>
                <w:lang w:val="en-CA"/>
              </w:rPr>
              <w:lastRenderedPageBreak/>
              <w:t>Risk Analyst - 30 days; GIS Specialist - 25 days; Technical Writer - 30 days.</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B6E65E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lastRenderedPageBreak/>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548429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93,000.00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0301F8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31367B7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122BAD59"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30A5E16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Y3Q1</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6C4535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Y3Q1</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14BD987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AF</w:t>
            </w:r>
          </w:p>
        </w:tc>
        <w:tc>
          <w:tcPr>
            <w:tcW w:w="319" w:type="dxa"/>
            <w:tcBorders>
              <w:top w:val="nil"/>
              <w:left w:val="nil"/>
              <w:bottom w:val="nil"/>
              <w:right w:val="nil"/>
            </w:tcBorders>
            <w:shd w:val="clear" w:color="000000" w:fill="FFFFFF"/>
            <w:noWrap/>
            <w:vAlign w:val="bottom"/>
            <w:hideMark/>
          </w:tcPr>
          <w:p w14:paraId="488F6DC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6BED277F"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1199FB6C"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17</w:t>
            </w:r>
          </w:p>
        </w:tc>
        <w:tc>
          <w:tcPr>
            <w:tcW w:w="9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4F1B86"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4DFD3DA"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9CF027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59DCEB8"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21033A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2993F3E"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0C1BF742"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7E95F4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EF887B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5F7AA94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7FBC0A89"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8FB6F03"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04112B67"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17</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21BAB010"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2011EA5"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00168B2"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nil"/>
            </w:tcBorders>
            <w:shd w:val="clear" w:color="D9E1F2" w:fill="D9E1F2"/>
            <w:vAlign w:val="center"/>
            <w:hideMark/>
          </w:tcPr>
          <w:p w14:paraId="611A5CD0"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nil"/>
              <w:bottom w:val="single" w:sz="8" w:space="0" w:color="auto"/>
              <w:right w:val="single" w:sz="4" w:space="0" w:color="auto"/>
            </w:tcBorders>
            <w:shd w:val="clear" w:color="D9E1F2" w:fill="D9E1F2"/>
            <w:vAlign w:val="center"/>
            <w:hideMark/>
          </w:tcPr>
          <w:p w14:paraId="4B6783D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D396E4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7F4862D8"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704FC7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3557499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70ADE05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984714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3C8EBA33" w14:textId="77777777" w:rsidTr="007507DC">
        <w:trPr>
          <w:trHeight w:val="1071"/>
        </w:trPr>
        <w:tc>
          <w:tcPr>
            <w:tcW w:w="359" w:type="dxa"/>
            <w:tcBorders>
              <w:top w:val="single" w:sz="4" w:space="0" w:color="auto"/>
              <w:left w:val="single" w:sz="8" w:space="0" w:color="auto"/>
              <w:bottom w:val="single" w:sz="8" w:space="0" w:color="auto"/>
              <w:right w:val="nil"/>
            </w:tcBorders>
            <w:shd w:val="clear" w:color="auto" w:fill="auto"/>
            <w:noWrap/>
            <w:vAlign w:val="center"/>
            <w:hideMark/>
          </w:tcPr>
          <w:p w14:paraId="70DEB056"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18</w:t>
            </w:r>
          </w:p>
        </w:tc>
        <w:tc>
          <w:tcPr>
            <w:tcW w:w="93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A1FC2D0"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nil"/>
              <w:bottom w:val="single" w:sz="8" w:space="0" w:color="auto"/>
              <w:right w:val="single" w:sz="4" w:space="0" w:color="auto"/>
            </w:tcBorders>
            <w:shd w:val="clear" w:color="auto" w:fill="auto"/>
            <w:vAlign w:val="center"/>
            <w:hideMark/>
          </w:tcPr>
          <w:p w14:paraId="1F816AE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International Consultants to support Output 3.4.3. Total 199 @ $550 USD/day: Climate Finance Specialist (Team Lead) - 144 days; Economic Analyst - 55 days;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2EDC78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370C49B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109,450.00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D74590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23893FA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635CEF12"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F4C5ED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Y2Q2</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FDFBED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Y2Q2</w:t>
            </w:r>
          </w:p>
        </w:tc>
        <w:tc>
          <w:tcPr>
            <w:tcW w:w="1360"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35A827E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AG</w:t>
            </w:r>
          </w:p>
        </w:tc>
        <w:tc>
          <w:tcPr>
            <w:tcW w:w="319" w:type="dxa"/>
            <w:tcBorders>
              <w:top w:val="nil"/>
              <w:left w:val="nil"/>
              <w:bottom w:val="nil"/>
              <w:right w:val="nil"/>
            </w:tcBorders>
            <w:shd w:val="clear" w:color="000000" w:fill="FFFFFF"/>
            <w:noWrap/>
            <w:vAlign w:val="bottom"/>
            <w:hideMark/>
          </w:tcPr>
          <w:p w14:paraId="0F0E8EF3"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F11F3DB"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4A89F9AA"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18</w:t>
            </w:r>
          </w:p>
        </w:tc>
        <w:tc>
          <w:tcPr>
            <w:tcW w:w="935" w:type="dxa"/>
            <w:tcBorders>
              <w:top w:val="single" w:sz="4" w:space="0" w:color="8EA9DB"/>
              <w:left w:val="single" w:sz="4" w:space="0" w:color="auto"/>
              <w:bottom w:val="single" w:sz="4" w:space="0" w:color="auto"/>
              <w:right w:val="single" w:sz="4" w:space="0" w:color="auto"/>
            </w:tcBorders>
            <w:shd w:val="clear" w:color="D9E1F2" w:fill="D9E1F2"/>
            <w:noWrap/>
            <w:vAlign w:val="bottom"/>
            <w:hideMark/>
          </w:tcPr>
          <w:p w14:paraId="2A3BBF02"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11B77CF"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5D0100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nil"/>
            </w:tcBorders>
            <w:shd w:val="clear" w:color="D9E1F2" w:fill="D9E1F2"/>
            <w:vAlign w:val="center"/>
            <w:hideMark/>
          </w:tcPr>
          <w:p w14:paraId="3A0294A3"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nil"/>
              <w:bottom w:val="single" w:sz="8" w:space="0" w:color="auto"/>
              <w:right w:val="single" w:sz="4" w:space="0" w:color="auto"/>
            </w:tcBorders>
            <w:shd w:val="clear" w:color="D9E1F2" w:fill="D9E1F2"/>
            <w:vAlign w:val="center"/>
            <w:hideMark/>
          </w:tcPr>
          <w:p w14:paraId="100CF36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BE192A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77C2DB6A"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96862C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4A31E8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00D6E28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4EBD4BCE"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317E9F83"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7EC4EB93"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18</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638E707E"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A7E88F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35A050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F7F1948"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9F9CD2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F401D8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9B954AE"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5F2572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D053E2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4D2DCAE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70CE32C5"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56F4FF4" w14:textId="77777777" w:rsidTr="007507DC">
        <w:trPr>
          <w:trHeight w:val="1071"/>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61BA264D"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19</w:t>
            </w:r>
          </w:p>
        </w:tc>
        <w:tc>
          <w:tcPr>
            <w:tcW w:w="935" w:type="dxa"/>
            <w:tcBorders>
              <w:top w:val="single" w:sz="8" w:space="0" w:color="auto"/>
              <w:left w:val="single" w:sz="8" w:space="0" w:color="auto"/>
              <w:bottom w:val="single" w:sz="8" w:space="0" w:color="auto"/>
              <w:right w:val="single" w:sz="8" w:space="0" w:color="auto"/>
            </w:tcBorders>
            <w:shd w:val="clear" w:color="D9E1F2" w:fill="D9E1F2"/>
            <w:noWrap/>
            <w:vAlign w:val="bottom"/>
            <w:hideMark/>
          </w:tcPr>
          <w:p w14:paraId="3D5C3D47"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6A7967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Local Experts to support Output 3.4.3. Total 302 days @ $200 USD/day: Stakeholder Engagement Specialist - 97 days; Policy and Governance Expert - 55 days; Communication Specialist - 27 </w:t>
            </w:r>
            <w:proofErr w:type="gramStart"/>
            <w:r w:rsidRPr="00AC0422">
              <w:rPr>
                <w:rFonts w:asciiTheme="minorHAnsi" w:eastAsia="Times New Roman" w:hAnsiTheme="minorHAnsi" w:cstheme="minorHAnsi"/>
                <w:sz w:val="18"/>
                <w:szCs w:val="18"/>
                <w:lang w:val="en-CA"/>
              </w:rPr>
              <w:t>days;  Data</w:t>
            </w:r>
            <w:proofErr w:type="gramEnd"/>
            <w:r w:rsidRPr="00AC0422">
              <w:rPr>
                <w:rFonts w:asciiTheme="minorHAnsi" w:eastAsia="Times New Roman" w:hAnsiTheme="minorHAnsi" w:cstheme="minorHAnsi"/>
                <w:sz w:val="18"/>
                <w:szCs w:val="18"/>
                <w:lang w:val="en-CA"/>
              </w:rPr>
              <w:t xml:space="preserve"> Analyst - 25 days; Facilitator - 23 </w:t>
            </w:r>
            <w:proofErr w:type="gramStart"/>
            <w:r w:rsidRPr="00AC0422">
              <w:rPr>
                <w:rFonts w:asciiTheme="minorHAnsi" w:eastAsia="Times New Roman" w:hAnsiTheme="minorHAnsi" w:cstheme="minorHAnsi"/>
                <w:sz w:val="18"/>
                <w:szCs w:val="18"/>
                <w:lang w:val="en-CA"/>
              </w:rPr>
              <w:t>days;  Logistics</w:t>
            </w:r>
            <w:proofErr w:type="gramEnd"/>
            <w:r w:rsidRPr="00AC0422">
              <w:rPr>
                <w:rFonts w:asciiTheme="minorHAnsi" w:eastAsia="Times New Roman" w:hAnsiTheme="minorHAnsi" w:cstheme="minorHAnsi"/>
                <w:sz w:val="18"/>
                <w:szCs w:val="18"/>
                <w:lang w:val="en-CA"/>
              </w:rPr>
              <w:t xml:space="preserve"> Coordinator - 15 days; Technical Writer - 60 days; Sectoral Experts (Water, Agriculture, Health) - 40 days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643827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(Individual Consultants)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6F0A3A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60,400.00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8C460F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0C8CF4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42C3BD31"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A3DCCB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Y2Q2</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FE2EF4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Y2Q2</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20035BF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 AH</w:t>
            </w:r>
          </w:p>
        </w:tc>
        <w:tc>
          <w:tcPr>
            <w:tcW w:w="319" w:type="dxa"/>
            <w:tcBorders>
              <w:top w:val="nil"/>
              <w:left w:val="nil"/>
              <w:bottom w:val="nil"/>
              <w:right w:val="nil"/>
            </w:tcBorders>
            <w:shd w:val="clear" w:color="000000" w:fill="FFFFFF"/>
            <w:noWrap/>
            <w:vAlign w:val="bottom"/>
            <w:hideMark/>
          </w:tcPr>
          <w:p w14:paraId="3BEC5B17"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1C0754C7"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4A5B323C"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19</w:t>
            </w:r>
          </w:p>
        </w:tc>
        <w:tc>
          <w:tcPr>
            <w:tcW w:w="935" w:type="dxa"/>
            <w:tcBorders>
              <w:top w:val="single" w:sz="4" w:space="0" w:color="8EA9DB"/>
              <w:left w:val="single" w:sz="4" w:space="0" w:color="auto"/>
              <w:bottom w:val="single" w:sz="4" w:space="0" w:color="auto"/>
              <w:right w:val="single" w:sz="4" w:space="0" w:color="auto"/>
            </w:tcBorders>
            <w:shd w:val="clear" w:color="auto" w:fill="auto"/>
            <w:noWrap/>
            <w:vAlign w:val="bottom"/>
            <w:hideMark/>
          </w:tcPr>
          <w:p w14:paraId="27A30589"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418152A"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AF0AF2C"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E7CE654"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89CF8F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907C40A"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9F8A932"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37FBCD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67CE14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1FDBDBE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508F1437"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7E9126D"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604C251E"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19</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6438CD08"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21EA3A4"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C78AE76"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CC99D49"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DA3F11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5656EC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F56A2B4"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9AC9CE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E0BDE4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085BF30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4A87698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511317B" w14:textId="77777777" w:rsidTr="007507DC">
        <w:trPr>
          <w:trHeight w:val="848"/>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5374AF05"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20</w:t>
            </w:r>
          </w:p>
        </w:tc>
        <w:tc>
          <w:tcPr>
            <w:tcW w:w="93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E6B4156"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3B6570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Meetings, Workshops and Training workshops</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534CE9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Non-Consulting Services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05E6D2D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370,000.00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3338DB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RFQ</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BCFCEB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1E3A0F49"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346934F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321D29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1360" w:type="dxa"/>
            <w:tcBorders>
              <w:top w:val="single" w:sz="4" w:space="0" w:color="auto"/>
              <w:left w:val="single" w:sz="4" w:space="0" w:color="auto"/>
              <w:bottom w:val="single" w:sz="8" w:space="0" w:color="auto"/>
              <w:right w:val="single" w:sz="8" w:space="0" w:color="auto"/>
            </w:tcBorders>
            <w:shd w:val="clear" w:color="auto" w:fill="auto"/>
            <w:vAlign w:val="center"/>
            <w:hideMark/>
          </w:tcPr>
          <w:p w14:paraId="0398525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Budget Notes </w:t>
            </w:r>
            <w:proofErr w:type="gramStart"/>
            <w:r w:rsidRPr="00AC0422">
              <w:rPr>
                <w:rFonts w:asciiTheme="minorHAnsi" w:eastAsia="Times New Roman" w:hAnsiTheme="minorHAnsi" w:cstheme="minorHAnsi"/>
                <w:sz w:val="18"/>
                <w:szCs w:val="18"/>
                <w:lang w:val="en-CA"/>
              </w:rPr>
              <w:t>C,G</w:t>
            </w:r>
            <w:proofErr w:type="gramEnd"/>
            <w:r w:rsidRPr="00AC0422">
              <w:rPr>
                <w:rFonts w:asciiTheme="minorHAnsi" w:eastAsia="Times New Roman" w:hAnsiTheme="minorHAnsi" w:cstheme="minorHAnsi"/>
                <w:sz w:val="18"/>
                <w:szCs w:val="18"/>
                <w:lang w:val="en-CA"/>
              </w:rPr>
              <w:t>,</w:t>
            </w:r>
            <w:proofErr w:type="gramStart"/>
            <w:r w:rsidRPr="00AC0422">
              <w:rPr>
                <w:rFonts w:asciiTheme="minorHAnsi" w:eastAsia="Times New Roman" w:hAnsiTheme="minorHAnsi" w:cstheme="minorHAnsi"/>
                <w:sz w:val="18"/>
                <w:szCs w:val="18"/>
                <w:lang w:val="en-CA"/>
              </w:rPr>
              <w:t>J,L</w:t>
            </w:r>
            <w:proofErr w:type="gramEnd"/>
            <w:r w:rsidRPr="00AC0422">
              <w:rPr>
                <w:rFonts w:asciiTheme="minorHAnsi" w:eastAsia="Times New Roman" w:hAnsiTheme="minorHAnsi" w:cstheme="minorHAnsi"/>
                <w:sz w:val="18"/>
                <w:szCs w:val="18"/>
                <w:lang w:val="en-CA"/>
              </w:rPr>
              <w:t>,</w:t>
            </w:r>
            <w:proofErr w:type="gramStart"/>
            <w:r w:rsidRPr="00AC0422">
              <w:rPr>
                <w:rFonts w:asciiTheme="minorHAnsi" w:eastAsia="Times New Roman" w:hAnsiTheme="minorHAnsi" w:cstheme="minorHAnsi"/>
                <w:sz w:val="18"/>
                <w:szCs w:val="18"/>
                <w:lang w:val="en-CA"/>
              </w:rPr>
              <w:t>P,V</w:t>
            </w:r>
            <w:proofErr w:type="gramEnd"/>
            <w:r w:rsidRPr="00AC0422">
              <w:rPr>
                <w:rFonts w:asciiTheme="minorHAnsi" w:eastAsia="Times New Roman" w:hAnsiTheme="minorHAnsi" w:cstheme="minorHAnsi"/>
                <w:sz w:val="18"/>
                <w:szCs w:val="18"/>
                <w:lang w:val="en-CA"/>
              </w:rPr>
              <w:t>,</w:t>
            </w:r>
            <w:proofErr w:type="gramStart"/>
            <w:r w:rsidRPr="00AC0422">
              <w:rPr>
                <w:rFonts w:asciiTheme="minorHAnsi" w:eastAsia="Times New Roman" w:hAnsiTheme="minorHAnsi" w:cstheme="minorHAnsi"/>
                <w:sz w:val="18"/>
                <w:szCs w:val="18"/>
                <w:lang w:val="en-CA"/>
              </w:rPr>
              <w:t>W,AB</w:t>
            </w:r>
            <w:proofErr w:type="gramEnd"/>
            <w:r w:rsidRPr="00AC0422">
              <w:rPr>
                <w:rFonts w:asciiTheme="minorHAnsi" w:eastAsia="Times New Roman" w:hAnsiTheme="minorHAnsi" w:cstheme="minorHAnsi"/>
                <w:sz w:val="18"/>
                <w:szCs w:val="18"/>
                <w:lang w:val="en-CA"/>
              </w:rPr>
              <w:t>, and AI</w:t>
            </w:r>
          </w:p>
        </w:tc>
        <w:tc>
          <w:tcPr>
            <w:tcW w:w="319" w:type="dxa"/>
            <w:tcBorders>
              <w:top w:val="nil"/>
              <w:left w:val="nil"/>
              <w:bottom w:val="nil"/>
              <w:right w:val="nil"/>
            </w:tcBorders>
            <w:shd w:val="clear" w:color="000000" w:fill="FFFFFF"/>
            <w:noWrap/>
            <w:vAlign w:val="bottom"/>
            <w:hideMark/>
          </w:tcPr>
          <w:p w14:paraId="059C37B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0944049"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0FA40DA9"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20</w:t>
            </w:r>
          </w:p>
        </w:tc>
        <w:tc>
          <w:tcPr>
            <w:tcW w:w="935" w:type="dxa"/>
            <w:tcBorders>
              <w:top w:val="single" w:sz="4" w:space="0" w:color="8EA9DB"/>
              <w:left w:val="single" w:sz="4" w:space="0" w:color="auto"/>
              <w:bottom w:val="single" w:sz="4" w:space="0" w:color="auto"/>
              <w:right w:val="single" w:sz="4" w:space="0" w:color="auto"/>
            </w:tcBorders>
            <w:shd w:val="clear" w:color="D9E1F2" w:fill="D9E1F2"/>
            <w:noWrap/>
            <w:vAlign w:val="bottom"/>
            <w:hideMark/>
          </w:tcPr>
          <w:p w14:paraId="23ACB4EF"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3A5F29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05771EE"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5BA755A"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D34D8E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F71407F"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36C445A4"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2B0880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95E8FF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6BC6BFE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42BC65A5"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8117491"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2730616"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20</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71BD6476"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9C40758"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05A73D7"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91AD3C6"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53B368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BA7026E"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114EA57"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A6EBDC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5747C8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20D90D3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41DD0B90"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C3C6BBF" w14:textId="77777777" w:rsidTr="007507DC">
        <w:trPr>
          <w:trHeight w:val="1071"/>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30B1D60A"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lastRenderedPageBreak/>
              <w:t>21</w:t>
            </w:r>
          </w:p>
        </w:tc>
        <w:tc>
          <w:tcPr>
            <w:tcW w:w="935" w:type="dxa"/>
            <w:tcBorders>
              <w:top w:val="single" w:sz="8" w:space="0" w:color="auto"/>
              <w:left w:val="single" w:sz="8" w:space="0" w:color="auto"/>
              <w:bottom w:val="single" w:sz="8" w:space="0" w:color="auto"/>
              <w:right w:val="single" w:sz="8" w:space="0" w:color="auto"/>
            </w:tcBorders>
            <w:shd w:val="clear" w:color="D9E1F2" w:fill="D9E1F2"/>
            <w:noWrap/>
            <w:vAlign w:val="bottom"/>
            <w:hideMark/>
          </w:tcPr>
          <w:p w14:paraId="316CFEAC"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D72D97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Firms to provide Audio Visual &amp; Printing to the project</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A0C661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(Professional Firms)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48B485D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55,500.00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07FB06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RFQ</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4D9FE9D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0ADB99D5"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5A92BF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660957C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0F7A844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Budget Notes </w:t>
            </w:r>
            <w:proofErr w:type="gramStart"/>
            <w:r w:rsidRPr="00AC0422">
              <w:rPr>
                <w:rFonts w:asciiTheme="minorHAnsi" w:eastAsia="Times New Roman" w:hAnsiTheme="minorHAnsi" w:cstheme="minorHAnsi"/>
                <w:sz w:val="18"/>
                <w:szCs w:val="18"/>
                <w:lang w:val="en-CA"/>
              </w:rPr>
              <w:t>K,Q</w:t>
            </w:r>
            <w:proofErr w:type="gramEnd"/>
            <w:r w:rsidRPr="00AC0422">
              <w:rPr>
                <w:rFonts w:asciiTheme="minorHAnsi" w:eastAsia="Times New Roman" w:hAnsiTheme="minorHAnsi" w:cstheme="minorHAnsi"/>
                <w:sz w:val="18"/>
                <w:szCs w:val="18"/>
                <w:lang w:val="en-CA"/>
              </w:rPr>
              <w:t>, and X</w:t>
            </w:r>
          </w:p>
        </w:tc>
        <w:tc>
          <w:tcPr>
            <w:tcW w:w="319" w:type="dxa"/>
            <w:tcBorders>
              <w:top w:val="nil"/>
              <w:left w:val="nil"/>
              <w:bottom w:val="nil"/>
              <w:right w:val="nil"/>
            </w:tcBorders>
            <w:shd w:val="clear" w:color="000000" w:fill="FFFFFF"/>
            <w:noWrap/>
            <w:vAlign w:val="bottom"/>
            <w:hideMark/>
          </w:tcPr>
          <w:p w14:paraId="6A327196"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10058770"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24FE5994"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21</w:t>
            </w:r>
          </w:p>
        </w:tc>
        <w:tc>
          <w:tcPr>
            <w:tcW w:w="935" w:type="dxa"/>
            <w:tcBorders>
              <w:top w:val="single" w:sz="4" w:space="0" w:color="8EA9DB"/>
              <w:left w:val="single" w:sz="4" w:space="0" w:color="auto"/>
              <w:bottom w:val="single" w:sz="4" w:space="0" w:color="auto"/>
              <w:right w:val="single" w:sz="4" w:space="0" w:color="auto"/>
            </w:tcBorders>
            <w:shd w:val="clear" w:color="auto" w:fill="auto"/>
            <w:noWrap/>
            <w:vAlign w:val="bottom"/>
            <w:hideMark/>
          </w:tcPr>
          <w:p w14:paraId="4CBF386A"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EE4167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F3DE86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508D0B1"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E3AEF1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5F3289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C67E2AB"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86FA97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EC510E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59270DA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4A433999"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34251C1"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3F2999E5"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21</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3A01C799"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1531783"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BBA021D"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9EFE03C"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27A458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7C901F5"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755D18A0"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F869F4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3A99F31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F10647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72EB2DA0"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540FE0C" w14:textId="77777777" w:rsidTr="007507DC">
        <w:trPr>
          <w:trHeight w:val="545"/>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624731E7"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22</w:t>
            </w:r>
          </w:p>
        </w:tc>
        <w:tc>
          <w:tcPr>
            <w:tcW w:w="93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0524E1F"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08BE7F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Travel - Local</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24F778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Non-Consulting Services</w:t>
            </w:r>
          </w:p>
        </w:tc>
        <w:tc>
          <w:tcPr>
            <w:tcW w:w="998"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5DA94CB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5,750.00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2F1A83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4BCEBFE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55A5327F"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3D8F1EB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699E72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4945EED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Notes D and AM</w:t>
            </w:r>
          </w:p>
        </w:tc>
        <w:tc>
          <w:tcPr>
            <w:tcW w:w="319" w:type="dxa"/>
            <w:tcBorders>
              <w:top w:val="nil"/>
              <w:left w:val="nil"/>
              <w:bottom w:val="nil"/>
              <w:right w:val="nil"/>
            </w:tcBorders>
            <w:shd w:val="clear" w:color="000000" w:fill="FFFFFF"/>
            <w:noWrap/>
            <w:vAlign w:val="bottom"/>
            <w:hideMark/>
          </w:tcPr>
          <w:p w14:paraId="1AE81A2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3E9A464"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395EFA10"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22</w:t>
            </w:r>
          </w:p>
        </w:tc>
        <w:tc>
          <w:tcPr>
            <w:tcW w:w="935" w:type="dxa"/>
            <w:tcBorders>
              <w:top w:val="single" w:sz="4" w:space="0" w:color="8EA9DB"/>
              <w:left w:val="single" w:sz="4" w:space="0" w:color="auto"/>
              <w:bottom w:val="single" w:sz="4" w:space="0" w:color="auto"/>
              <w:right w:val="single" w:sz="4" w:space="0" w:color="auto"/>
            </w:tcBorders>
            <w:shd w:val="clear" w:color="D9E1F2" w:fill="D9E1F2"/>
            <w:noWrap/>
            <w:vAlign w:val="bottom"/>
            <w:hideMark/>
          </w:tcPr>
          <w:p w14:paraId="0BABFA47"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FAD2DB0"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1BEA61C"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9F74C99"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F426DE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27F65CD"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5C71415D"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7FE5691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EFDB58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0629E6F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108E734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2FC5605"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7554673E"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22</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4209AA56"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7D885FA"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8988E68"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F9BE34E"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A6BF1A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A22E7CA"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82312D6"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4968F8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F0C3A0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031BFE0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63ED55A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A1383C7" w14:textId="77777777" w:rsidTr="007507DC">
        <w:trPr>
          <w:trHeight w:val="545"/>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457CC094"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23</w:t>
            </w:r>
          </w:p>
        </w:tc>
        <w:tc>
          <w:tcPr>
            <w:tcW w:w="935" w:type="dxa"/>
            <w:tcBorders>
              <w:top w:val="single" w:sz="8" w:space="0" w:color="auto"/>
              <w:left w:val="single" w:sz="8" w:space="0" w:color="auto"/>
              <w:bottom w:val="single" w:sz="8" w:space="0" w:color="auto"/>
              <w:right w:val="single" w:sz="8" w:space="0" w:color="auto"/>
            </w:tcBorders>
            <w:shd w:val="clear" w:color="D9E1F2" w:fill="D9E1F2"/>
            <w:noWrap/>
            <w:vAlign w:val="bottom"/>
            <w:hideMark/>
          </w:tcPr>
          <w:p w14:paraId="5DF4C189"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1B1817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Travel - International</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1C0336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Non-Consulting Services</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581D93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 $               5,000.00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1767C5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398D681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00DEA9E0"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7927B6C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039D2B80"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 Q2</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F9A759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Budget Notes </w:t>
            </w:r>
            <w:proofErr w:type="spellStart"/>
            <w:proofErr w:type="gramStart"/>
            <w:r w:rsidRPr="00AC0422">
              <w:rPr>
                <w:rFonts w:asciiTheme="minorHAnsi" w:eastAsia="Times New Roman" w:hAnsiTheme="minorHAnsi" w:cstheme="minorHAnsi"/>
                <w:sz w:val="18"/>
                <w:szCs w:val="18"/>
                <w:lang w:val="en-CA"/>
              </w:rPr>
              <w:t>E,M</w:t>
            </w:r>
            <w:proofErr w:type="gramEnd"/>
            <w:r w:rsidRPr="00AC0422">
              <w:rPr>
                <w:rFonts w:asciiTheme="minorHAnsi" w:eastAsia="Times New Roman" w:hAnsiTheme="minorHAnsi" w:cstheme="minorHAnsi"/>
                <w:sz w:val="18"/>
                <w:szCs w:val="18"/>
                <w:lang w:val="en-CA"/>
              </w:rPr>
              <w:t>,and</w:t>
            </w:r>
            <w:proofErr w:type="spellEnd"/>
            <w:r w:rsidRPr="00AC0422">
              <w:rPr>
                <w:rFonts w:asciiTheme="minorHAnsi" w:eastAsia="Times New Roman" w:hAnsiTheme="minorHAnsi" w:cstheme="minorHAnsi"/>
                <w:sz w:val="18"/>
                <w:szCs w:val="18"/>
                <w:lang w:val="en-CA"/>
              </w:rPr>
              <w:t xml:space="preserve"> Y</w:t>
            </w:r>
          </w:p>
        </w:tc>
        <w:tc>
          <w:tcPr>
            <w:tcW w:w="319" w:type="dxa"/>
            <w:tcBorders>
              <w:top w:val="nil"/>
              <w:left w:val="nil"/>
              <w:bottom w:val="nil"/>
              <w:right w:val="nil"/>
            </w:tcBorders>
            <w:shd w:val="clear" w:color="000000" w:fill="FFFFFF"/>
            <w:noWrap/>
            <w:vAlign w:val="bottom"/>
            <w:hideMark/>
          </w:tcPr>
          <w:p w14:paraId="239DDC27"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359C3D34"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59B371A9"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23</w:t>
            </w:r>
          </w:p>
        </w:tc>
        <w:tc>
          <w:tcPr>
            <w:tcW w:w="935" w:type="dxa"/>
            <w:tcBorders>
              <w:top w:val="single" w:sz="4" w:space="0" w:color="8EA9DB"/>
              <w:left w:val="single" w:sz="4" w:space="0" w:color="auto"/>
              <w:bottom w:val="single" w:sz="4" w:space="0" w:color="auto"/>
              <w:right w:val="single" w:sz="4" w:space="0" w:color="auto"/>
            </w:tcBorders>
            <w:shd w:val="clear" w:color="auto" w:fill="auto"/>
            <w:noWrap/>
            <w:vAlign w:val="bottom"/>
            <w:hideMark/>
          </w:tcPr>
          <w:p w14:paraId="541C50B6"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D513AAB"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044A92F"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51B3B9A"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0CA6061"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EE0567C"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F62A672"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6981D43"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4A74F8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11A2029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F4A6F4B"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600DF716"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45E4CD21" w14:textId="77777777" w:rsidR="007507DC" w:rsidRPr="00AC0422" w:rsidRDefault="007507DC" w:rsidP="007507DC">
            <w:pPr>
              <w:spacing w:after="0"/>
              <w:jc w:val="righ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23</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759E51A3" w14:textId="77777777" w:rsidR="007507DC" w:rsidRPr="00AC0422" w:rsidRDefault="007507DC" w:rsidP="007507DC">
            <w:pPr>
              <w:spacing w:after="0"/>
              <w:jc w:val="left"/>
              <w:rPr>
                <w:rFonts w:asciiTheme="minorHAnsi" w:eastAsia="Times New Roman" w:hAnsiTheme="minorHAnsi" w:cstheme="minorHAnsi"/>
                <w:color w:val="000000"/>
                <w:sz w:val="18"/>
                <w:szCs w:val="18"/>
                <w:lang w:val="en-CA"/>
              </w:rPr>
            </w:pPr>
            <w:r w:rsidRPr="00AC0422">
              <w:rPr>
                <w:rFonts w:asciiTheme="minorHAnsi" w:eastAsia="Times New Roman" w:hAnsiTheme="minorHAnsi" w:cstheme="minorHAnsi"/>
                <w:color w:val="000000"/>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5AED492"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F1DD6B5"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26C2A649" w14:textId="77777777" w:rsidR="007507DC" w:rsidRPr="00AC0422" w:rsidRDefault="007507DC" w:rsidP="007507DC">
            <w:pPr>
              <w:spacing w:after="0"/>
              <w:jc w:val="righ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147211C5"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7205E79" w14:textId="77777777" w:rsidR="007507DC" w:rsidRPr="00AC0422" w:rsidRDefault="007507DC" w:rsidP="007507DC">
            <w:pPr>
              <w:spacing w:after="0"/>
              <w:jc w:val="left"/>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FD532BB" w14:textId="77777777" w:rsidR="007507DC" w:rsidRPr="00AC0422" w:rsidRDefault="007507DC" w:rsidP="007507DC">
            <w:pPr>
              <w:spacing w:after="0"/>
              <w:jc w:val="center"/>
              <w:rPr>
                <w:rFonts w:asciiTheme="minorHAnsi" w:eastAsia="Times New Roman" w:hAnsiTheme="minorHAnsi" w:cstheme="minorHAnsi"/>
                <w:color w:val="A6A6A6"/>
                <w:sz w:val="18"/>
                <w:szCs w:val="18"/>
                <w:lang w:val="en-CA"/>
              </w:rPr>
            </w:pPr>
            <w:r w:rsidRPr="00AC0422">
              <w:rPr>
                <w:rFonts w:asciiTheme="minorHAnsi" w:eastAsia="Times New Roman" w:hAnsiTheme="minorHAnsi" w:cstheme="minorHAnsi"/>
                <w:color w:val="A6A6A6"/>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210803A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4B800D3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0A877C4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0AB86BD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4006BCC4" w14:textId="77777777" w:rsidTr="007507DC">
        <w:trPr>
          <w:trHeight w:val="1071"/>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12CCFAFC"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24</w:t>
            </w:r>
          </w:p>
        </w:tc>
        <w:tc>
          <w:tcPr>
            <w:tcW w:w="93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5CC54FE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1897B0F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Audit Fee</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E6C5E8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Consulting Services (Professional Firms)</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E732B5F"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5,000.00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353BC8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E75030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&lt;5,000</w:t>
            </w:r>
          </w:p>
        </w:tc>
        <w:tc>
          <w:tcPr>
            <w:tcW w:w="1045"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7A01F7E9"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389093B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Y4Q1</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D7FA6E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Y4Q1</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4531BF9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Notes AL</w:t>
            </w:r>
          </w:p>
        </w:tc>
        <w:tc>
          <w:tcPr>
            <w:tcW w:w="319" w:type="dxa"/>
            <w:tcBorders>
              <w:top w:val="nil"/>
              <w:left w:val="nil"/>
              <w:bottom w:val="nil"/>
              <w:right w:val="nil"/>
            </w:tcBorders>
            <w:shd w:val="clear" w:color="000000" w:fill="FFFFFF"/>
            <w:noWrap/>
            <w:vAlign w:val="bottom"/>
            <w:hideMark/>
          </w:tcPr>
          <w:p w14:paraId="208F99A9"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23B9CAEC"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5D8472E8"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24</w:t>
            </w:r>
          </w:p>
        </w:tc>
        <w:tc>
          <w:tcPr>
            <w:tcW w:w="935" w:type="dxa"/>
            <w:tcBorders>
              <w:top w:val="single" w:sz="4" w:space="0" w:color="8EA9DB"/>
              <w:left w:val="single" w:sz="4" w:space="0" w:color="auto"/>
              <w:bottom w:val="single" w:sz="4" w:space="0" w:color="auto"/>
              <w:right w:val="single" w:sz="4" w:space="0" w:color="auto"/>
            </w:tcBorders>
            <w:shd w:val="clear" w:color="D9E1F2" w:fill="D9E1F2"/>
            <w:noWrap/>
            <w:vAlign w:val="bottom"/>
            <w:hideMark/>
          </w:tcPr>
          <w:p w14:paraId="3D3927F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4BF07F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FA19BBF"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35E0C262"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A8DF4D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02F650F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3E8C04EB"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CA57D4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3C39F0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52B7A22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69D4CC98"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32BD6E37"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29AA8233"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24</w:t>
            </w:r>
          </w:p>
        </w:tc>
        <w:tc>
          <w:tcPr>
            <w:tcW w:w="935"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0D51966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Actual </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0E049A6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1A4543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783F5994"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15C8B4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4658476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3B86375"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13CC50F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204A6521"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6116573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311CA39C"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522AE29B" w14:textId="77777777" w:rsidTr="007507DC">
        <w:trPr>
          <w:trHeight w:val="545"/>
        </w:trPr>
        <w:tc>
          <w:tcPr>
            <w:tcW w:w="359" w:type="dxa"/>
            <w:tcBorders>
              <w:top w:val="single" w:sz="4" w:space="0" w:color="auto"/>
              <w:left w:val="single" w:sz="8" w:space="0" w:color="auto"/>
              <w:bottom w:val="single" w:sz="8" w:space="0" w:color="auto"/>
              <w:right w:val="single" w:sz="4" w:space="0" w:color="auto"/>
            </w:tcBorders>
            <w:shd w:val="clear" w:color="D9E1F2" w:fill="D9E1F2"/>
            <w:noWrap/>
            <w:vAlign w:val="center"/>
            <w:hideMark/>
          </w:tcPr>
          <w:p w14:paraId="283A05F4"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25</w:t>
            </w:r>
          </w:p>
        </w:tc>
        <w:tc>
          <w:tcPr>
            <w:tcW w:w="935" w:type="dxa"/>
            <w:tcBorders>
              <w:top w:val="single" w:sz="8" w:space="0" w:color="auto"/>
              <w:left w:val="single" w:sz="8" w:space="0" w:color="auto"/>
              <w:bottom w:val="single" w:sz="8" w:space="0" w:color="auto"/>
              <w:right w:val="single" w:sz="8" w:space="0" w:color="auto"/>
            </w:tcBorders>
            <w:shd w:val="clear" w:color="D9E1F2" w:fill="D9E1F2"/>
            <w:noWrap/>
            <w:vAlign w:val="bottom"/>
            <w:hideMark/>
          </w:tcPr>
          <w:p w14:paraId="5503308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Planned</w:t>
            </w:r>
          </w:p>
        </w:tc>
        <w:tc>
          <w:tcPr>
            <w:tcW w:w="2780"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766A023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IT Equipment</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5BE4AB6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6E90BF79"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4,000.00 </w:t>
            </w:r>
          </w:p>
        </w:tc>
        <w:tc>
          <w:tcPr>
            <w:tcW w:w="1107" w:type="dxa"/>
            <w:tcBorders>
              <w:top w:val="single" w:sz="4" w:space="0" w:color="auto"/>
              <w:left w:val="single" w:sz="4" w:space="0" w:color="auto"/>
              <w:bottom w:val="single" w:sz="8" w:space="0" w:color="auto"/>
              <w:right w:val="single" w:sz="4" w:space="0" w:color="auto"/>
            </w:tcBorders>
            <w:shd w:val="clear" w:color="D9E1F2" w:fill="D9E1F2"/>
            <w:vAlign w:val="center"/>
            <w:hideMark/>
          </w:tcPr>
          <w:p w14:paraId="420E671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Competitive procurement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3D969B6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5000-149,999</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55D580E9"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DP</w:t>
            </w:r>
          </w:p>
        </w:tc>
        <w:tc>
          <w:tcPr>
            <w:tcW w:w="1037"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7ABF3C1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Y1Q2</w:t>
            </w:r>
          </w:p>
        </w:tc>
        <w:tc>
          <w:tcPr>
            <w:tcW w:w="848" w:type="dxa"/>
            <w:tcBorders>
              <w:top w:val="single" w:sz="4" w:space="0" w:color="auto"/>
              <w:left w:val="single" w:sz="4" w:space="0" w:color="auto"/>
              <w:bottom w:val="single" w:sz="8" w:space="0" w:color="auto"/>
              <w:right w:val="single" w:sz="4" w:space="0" w:color="auto"/>
            </w:tcBorders>
            <w:shd w:val="clear" w:color="D9E1F2" w:fill="D9E1F2"/>
            <w:noWrap/>
            <w:vAlign w:val="center"/>
            <w:hideMark/>
          </w:tcPr>
          <w:p w14:paraId="1571293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Y1Q2</w:t>
            </w:r>
          </w:p>
        </w:tc>
        <w:tc>
          <w:tcPr>
            <w:tcW w:w="1360" w:type="dxa"/>
            <w:tcBorders>
              <w:top w:val="single" w:sz="4" w:space="0" w:color="auto"/>
              <w:left w:val="single" w:sz="4" w:space="0" w:color="auto"/>
              <w:bottom w:val="single" w:sz="8" w:space="0" w:color="auto"/>
              <w:right w:val="single" w:sz="8" w:space="0" w:color="auto"/>
            </w:tcBorders>
            <w:shd w:val="clear" w:color="D9E1F2" w:fill="D9E1F2"/>
            <w:noWrap/>
            <w:vAlign w:val="center"/>
            <w:hideMark/>
          </w:tcPr>
          <w:p w14:paraId="31468A7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Budget Notes AO</w:t>
            </w:r>
          </w:p>
        </w:tc>
        <w:tc>
          <w:tcPr>
            <w:tcW w:w="319" w:type="dxa"/>
            <w:tcBorders>
              <w:top w:val="nil"/>
              <w:left w:val="nil"/>
              <w:bottom w:val="nil"/>
              <w:right w:val="nil"/>
            </w:tcBorders>
            <w:shd w:val="clear" w:color="000000" w:fill="FFFFFF"/>
            <w:noWrap/>
            <w:vAlign w:val="bottom"/>
            <w:hideMark/>
          </w:tcPr>
          <w:p w14:paraId="7A3B5B4F"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77F342C6" w14:textId="77777777" w:rsidTr="007507DC">
        <w:trPr>
          <w:trHeight w:val="303"/>
        </w:trPr>
        <w:tc>
          <w:tcPr>
            <w:tcW w:w="35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14:paraId="5244265B"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25</w:t>
            </w:r>
          </w:p>
        </w:tc>
        <w:tc>
          <w:tcPr>
            <w:tcW w:w="935" w:type="dxa"/>
            <w:tcBorders>
              <w:top w:val="single" w:sz="4" w:space="0" w:color="8EA9DB"/>
              <w:left w:val="single" w:sz="4" w:space="0" w:color="auto"/>
              <w:bottom w:val="single" w:sz="4" w:space="0" w:color="auto"/>
              <w:right w:val="single" w:sz="4" w:space="0" w:color="auto"/>
            </w:tcBorders>
            <w:shd w:val="clear" w:color="auto" w:fill="auto"/>
            <w:noWrap/>
            <w:vAlign w:val="bottom"/>
            <w:hideMark/>
          </w:tcPr>
          <w:p w14:paraId="1B8046E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Revised1</w:t>
            </w:r>
          </w:p>
        </w:tc>
        <w:tc>
          <w:tcPr>
            <w:tcW w:w="2780"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32DD215"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2FE13D4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6EF7C758"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32A767EA"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vAlign w:val="center"/>
            <w:hideMark/>
          </w:tcPr>
          <w:p w14:paraId="5B4A59E4"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4E677085"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71547F5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4" w:space="0" w:color="auto"/>
              <w:left w:val="single" w:sz="4" w:space="0" w:color="auto"/>
              <w:bottom w:val="single" w:sz="8" w:space="0" w:color="auto"/>
              <w:right w:val="single" w:sz="4" w:space="0" w:color="auto"/>
            </w:tcBorders>
            <w:shd w:val="clear" w:color="auto" w:fill="auto"/>
            <w:noWrap/>
            <w:vAlign w:val="center"/>
            <w:hideMark/>
          </w:tcPr>
          <w:p w14:paraId="51A65BC9"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4" w:space="0" w:color="auto"/>
              <w:left w:val="single" w:sz="4" w:space="0" w:color="auto"/>
              <w:bottom w:val="single" w:sz="8" w:space="0" w:color="auto"/>
              <w:right w:val="single" w:sz="8" w:space="0" w:color="auto"/>
            </w:tcBorders>
            <w:shd w:val="clear" w:color="auto" w:fill="auto"/>
            <w:noWrap/>
            <w:vAlign w:val="center"/>
            <w:hideMark/>
          </w:tcPr>
          <w:p w14:paraId="761C21C8"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3048E7D9"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71E8D8AA" w14:textId="77777777" w:rsidTr="007507DC">
        <w:trPr>
          <w:trHeight w:val="303"/>
        </w:trPr>
        <w:tc>
          <w:tcPr>
            <w:tcW w:w="359" w:type="dxa"/>
            <w:tcBorders>
              <w:top w:val="single" w:sz="8" w:space="0" w:color="auto"/>
              <w:left w:val="single" w:sz="8" w:space="0" w:color="auto"/>
              <w:bottom w:val="single" w:sz="4" w:space="0" w:color="auto"/>
              <w:right w:val="single" w:sz="4" w:space="0" w:color="auto"/>
            </w:tcBorders>
            <w:shd w:val="clear" w:color="D9E1F2" w:fill="D9E1F2"/>
            <w:noWrap/>
            <w:vAlign w:val="center"/>
            <w:hideMark/>
          </w:tcPr>
          <w:p w14:paraId="4A55A90E"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25</w:t>
            </w:r>
          </w:p>
        </w:tc>
        <w:tc>
          <w:tcPr>
            <w:tcW w:w="935" w:type="dxa"/>
            <w:tcBorders>
              <w:top w:val="single" w:sz="4" w:space="0" w:color="auto"/>
              <w:left w:val="single" w:sz="4" w:space="0" w:color="auto"/>
              <w:bottom w:val="single" w:sz="8" w:space="0" w:color="auto"/>
              <w:right w:val="single" w:sz="4" w:space="0" w:color="auto"/>
            </w:tcBorders>
            <w:shd w:val="clear" w:color="D9E1F2" w:fill="D9E1F2"/>
            <w:noWrap/>
            <w:vAlign w:val="bottom"/>
            <w:hideMark/>
          </w:tcPr>
          <w:p w14:paraId="534352FB"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xml:space="preserve">Actual </w:t>
            </w:r>
          </w:p>
        </w:tc>
        <w:tc>
          <w:tcPr>
            <w:tcW w:w="2780"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58D3394E"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D9E1F2" w:fill="D9E1F2"/>
            <w:vAlign w:val="center"/>
            <w:hideMark/>
          </w:tcPr>
          <w:p w14:paraId="3A4A422C"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998"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4DD96DD9" w14:textId="77777777" w:rsidR="007507DC" w:rsidRPr="00AC0422" w:rsidRDefault="007507DC" w:rsidP="007507DC">
            <w:pPr>
              <w:spacing w:after="0"/>
              <w:jc w:val="righ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10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957EBD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8" w:space="0" w:color="auto"/>
              <w:left w:val="single" w:sz="4" w:space="0" w:color="auto"/>
              <w:bottom w:val="single" w:sz="4" w:space="0" w:color="auto"/>
              <w:right w:val="single" w:sz="4" w:space="0" w:color="auto"/>
            </w:tcBorders>
            <w:shd w:val="clear" w:color="D9E1F2" w:fill="D9E1F2"/>
            <w:vAlign w:val="center"/>
            <w:hideMark/>
          </w:tcPr>
          <w:p w14:paraId="2CFF2797"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45"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539EA432" w14:textId="77777777" w:rsidR="007507DC" w:rsidRPr="00AC0422" w:rsidRDefault="007507DC" w:rsidP="007507DC">
            <w:pPr>
              <w:spacing w:after="0"/>
              <w:jc w:val="center"/>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037"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080DF1ED"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848" w:type="dxa"/>
            <w:tcBorders>
              <w:top w:val="single" w:sz="8" w:space="0" w:color="auto"/>
              <w:left w:val="single" w:sz="4" w:space="0" w:color="auto"/>
              <w:bottom w:val="single" w:sz="4" w:space="0" w:color="auto"/>
              <w:right w:val="single" w:sz="4" w:space="0" w:color="auto"/>
            </w:tcBorders>
            <w:shd w:val="clear" w:color="D9E1F2" w:fill="D9E1F2"/>
            <w:noWrap/>
            <w:vAlign w:val="center"/>
            <w:hideMark/>
          </w:tcPr>
          <w:p w14:paraId="1A06C9D2"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1360" w:type="dxa"/>
            <w:tcBorders>
              <w:top w:val="single" w:sz="8" w:space="0" w:color="auto"/>
              <w:left w:val="single" w:sz="4" w:space="0" w:color="auto"/>
              <w:bottom w:val="single" w:sz="4" w:space="0" w:color="auto"/>
              <w:right w:val="single" w:sz="8" w:space="0" w:color="auto"/>
            </w:tcBorders>
            <w:shd w:val="clear" w:color="D9E1F2" w:fill="D9E1F2"/>
            <w:noWrap/>
            <w:vAlign w:val="center"/>
            <w:hideMark/>
          </w:tcPr>
          <w:p w14:paraId="11794406" w14:textId="77777777" w:rsidR="007507DC" w:rsidRPr="00AC0422" w:rsidRDefault="007507DC" w:rsidP="007507DC">
            <w:pPr>
              <w:spacing w:after="0"/>
              <w:jc w:val="left"/>
              <w:rPr>
                <w:rFonts w:asciiTheme="minorHAnsi" w:eastAsia="Times New Roman" w:hAnsiTheme="minorHAnsi" w:cstheme="minorHAnsi"/>
                <w:sz w:val="18"/>
                <w:szCs w:val="18"/>
                <w:lang w:val="en-CA"/>
              </w:rPr>
            </w:pPr>
            <w:r w:rsidRPr="00AC0422">
              <w:rPr>
                <w:rFonts w:asciiTheme="minorHAnsi" w:eastAsia="Times New Roman" w:hAnsiTheme="minorHAnsi" w:cstheme="minorHAnsi"/>
                <w:sz w:val="18"/>
                <w:szCs w:val="18"/>
                <w:lang w:val="en-CA"/>
              </w:rPr>
              <w:t> </w:t>
            </w:r>
          </w:p>
        </w:tc>
        <w:tc>
          <w:tcPr>
            <w:tcW w:w="319" w:type="dxa"/>
            <w:tcBorders>
              <w:top w:val="nil"/>
              <w:left w:val="nil"/>
              <w:bottom w:val="nil"/>
              <w:right w:val="nil"/>
            </w:tcBorders>
            <w:shd w:val="clear" w:color="000000" w:fill="FFFFFF"/>
            <w:noWrap/>
            <w:vAlign w:val="bottom"/>
            <w:hideMark/>
          </w:tcPr>
          <w:p w14:paraId="74335FA3" w14:textId="77777777" w:rsidR="007507DC" w:rsidRPr="00AC0422" w:rsidRDefault="007507DC" w:rsidP="007507DC">
            <w:pPr>
              <w:spacing w:after="0"/>
              <w:jc w:val="left"/>
              <w:rPr>
                <w:rFonts w:asciiTheme="minorHAnsi" w:eastAsia="Times New Roman" w:hAnsiTheme="minorHAnsi" w:cstheme="minorHAnsi"/>
                <w:sz w:val="22"/>
                <w:szCs w:val="22"/>
                <w:lang w:val="en-CA"/>
              </w:rPr>
            </w:pPr>
            <w:r w:rsidRPr="00AC0422">
              <w:rPr>
                <w:rFonts w:asciiTheme="minorHAnsi" w:eastAsia="Times New Roman" w:hAnsiTheme="minorHAnsi" w:cstheme="minorHAnsi"/>
                <w:sz w:val="22"/>
                <w:szCs w:val="22"/>
                <w:lang w:val="en-CA"/>
              </w:rPr>
              <w:t> </w:t>
            </w:r>
          </w:p>
        </w:tc>
      </w:tr>
      <w:tr w:rsidR="007507DC" w:rsidRPr="00AC0422" w14:paraId="44504F15" w14:textId="77777777" w:rsidTr="007507DC">
        <w:trPr>
          <w:trHeight w:val="500"/>
        </w:trPr>
        <w:tc>
          <w:tcPr>
            <w:tcW w:w="359"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0CCCD38B"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35"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28DC309F"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Planned </w:t>
            </w:r>
          </w:p>
        </w:tc>
        <w:tc>
          <w:tcPr>
            <w:tcW w:w="2780"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22421549"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5C375CF9"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52F692EC" w14:textId="77777777" w:rsidR="007507DC" w:rsidRPr="00AC0422" w:rsidRDefault="007507DC" w:rsidP="007507DC">
            <w:pPr>
              <w:spacing w:after="0"/>
              <w:jc w:val="righ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xml:space="preserve"> $         2,509,500.00 </w:t>
            </w:r>
          </w:p>
        </w:tc>
        <w:tc>
          <w:tcPr>
            <w:tcW w:w="1107"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586F591A"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37"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42BA0D77"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45"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76A371F5" w14:textId="77777777" w:rsidR="007507DC" w:rsidRPr="00AC0422" w:rsidRDefault="007507DC" w:rsidP="007507DC">
            <w:pPr>
              <w:spacing w:after="0"/>
              <w:jc w:val="center"/>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37"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7757BB23"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848"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7BB32692" w14:textId="77777777" w:rsidR="007507DC" w:rsidRPr="00AC0422" w:rsidRDefault="007507DC" w:rsidP="007507DC">
            <w:pPr>
              <w:spacing w:after="0"/>
              <w:jc w:val="righ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$0.00</w:t>
            </w:r>
          </w:p>
        </w:tc>
        <w:tc>
          <w:tcPr>
            <w:tcW w:w="1360"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22DBAECB"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319" w:type="dxa"/>
            <w:tcBorders>
              <w:top w:val="nil"/>
              <w:left w:val="nil"/>
              <w:bottom w:val="nil"/>
              <w:right w:val="nil"/>
            </w:tcBorders>
            <w:shd w:val="clear" w:color="000000" w:fill="FFFFFF"/>
            <w:noWrap/>
            <w:vAlign w:val="bottom"/>
            <w:hideMark/>
          </w:tcPr>
          <w:p w14:paraId="60CD700B"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F04027E" w14:textId="77777777" w:rsidTr="007507DC">
        <w:trPr>
          <w:trHeight w:val="575"/>
        </w:trPr>
        <w:tc>
          <w:tcPr>
            <w:tcW w:w="359"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57F6A07C"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lastRenderedPageBreak/>
              <w:t> </w:t>
            </w:r>
          </w:p>
        </w:tc>
        <w:tc>
          <w:tcPr>
            <w:tcW w:w="935"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2B77964E"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Revised1</w:t>
            </w:r>
          </w:p>
        </w:tc>
        <w:tc>
          <w:tcPr>
            <w:tcW w:w="2780"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25CDFF56"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6AC94747"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46C0621C" w14:textId="77777777" w:rsidR="007507DC" w:rsidRPr="00AC0422" w:rsidRDefault="007507DC" w:rsidP="007507DC">
            <w:pPr>
              <w:spacing w:after="0"/>
              <w:jc w:val="righ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xml:space="preserve"> $                        -   </w:t>
            </w:r>
          </w:p>
        </w:tc>
        <w:tc>
          <w:tcPr>
            <w:tcW w:w="1107"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5D8094A0"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37"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28D2B0C4"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45"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35D42599" w14:textId="77777777" w:rsidR="007507DC" w:rsidRPr="00AC0422" w:rsidRDefault="007507DC" w:rsidP="007507DC">
            <w:pPr>
              <w:spacing w:after="0"/>
              <w:jc w:val="center"/>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37"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26B3229E"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848"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4143DE8A" w14:textId="77777777" w:rsidR="007507DC" w:rsidRPr="00AC0422" w:rsidRDefault="007507DC" w:rsidP="007507DC">
            <w:pPr>
              <w:spacing w:after="0"/>
              <w:jc w:val="righ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$0.00</w:t>
            </w:r>
          </w:p>
        </w:tc>
        <w:tc>
          <w:tcPr>
            <w:tcW w:w="1360" w:type="dxa"/>
            <w:tcBorders>
              <w:top w:val="single" w:sz="4" w:space="0" w:color="auto"/>
              <w:left w:val="single" w:sz="4" w:space="0" w:color="auto"/>
              <w:bottom w:val="single" w:sz="4" w:space="0" w:color="8EA9DB"/>
              <w:right w:val="single" w:sz="4" w:space="0" w:color="auto"/>
            </w:tcBorders>
            <w:shd w:val="clear" w:color="000000" w:fill="3494BA"/>
            <w:noWrap/>
            <w:vAlign w:val="center"/>
            <w:hideMark/>
          </w:tcPr>
          <w:p w14:paraId="63BD377C"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319" w:type="dxa"/>
            <w:tcBorders>
              <w:top w:val="nil"/>
              <w:left w:val="nil"/>
              <w:bottom w:val="nil"/>
              <w:right w:val="nil"/>
            </w:tcBorders>
            <w:shd w:val="clear" w:color="000000" w:fill="FFFFFF"/>
            <w:noWrap/>
            <w:vAlign w:val="bottom"/>
            <w:hideMark/>
          </w:tcPr>
          <w:p w14:paraId="6D068AB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017AC981" w14:textId="77777777" w:rsidTr="007507DC">
        <w:trPr>
          <w:trHeight w:val="565"/>
        </w:trPr>
        <w:tc>
          <w:tcPr>
            <w:tcW w:w="359"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47E07337"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35"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08B0DDD9"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Actual </w:t>
            </w:r>
          </w:p>
        </w:tc>
        <w:tc>
          <w:tcPr>
            <w:tcW w:w="2780"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043B91A5"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7C4F292D"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03EB9312" w14:textId="77777777" w:rsidR="007507DC" w:rsidRPr="00AC0422" w:rsidRDefault="007507DC" w:rsidP="007507DC">
            <w:pPr>
              <w:spacing w:after="0"/>
              <w:jc w:val="righ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xml:space="preserve"> $                        -   </w:t>
            </w:r>
          </w:p>
        </w:tc>
        <w:tc>
          <w:tcPr>
            <w:tcW w:w="1107"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7F75C66B"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6449EF81"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45" w:type="dxa"/>
            <w:tcBorders>
              <w:top w:val="single" w:sz="4" w:space="0" w:color="auto"/>
              <w:left w:val="single" w:sz="4" w:space="0" w:color="auto"/>
              <w:bottom w:val="single" w:sz="4" w:space="0" w:color="auto"/>
              <w:right w:val="single" w:sz="4" w:space="0" w:color="auto"/>
            </w:tcBorders>
            <w:shd w:val="clear" w:color="000000" w:fill="3494BA"/>
            <w:noWrap/>
            <w:vAlign w:val="center"/>
            <w:hideMark/>
          </w:tcPr>
          <w:p w14:paraId="037612A4" w14:textId="77777777" w:rsidR="007507DC" w:rsidRPr="00AC0422" w:rsidRDefault="007507DC" w:rsidP="007507DC">
            <w:pPr>
              <w:spacing w:after="0"/>
              <w:jc w:val="center"/>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1037" w:type="dxa"/>
            <w:tcBorders>
              <w:top w:val="single" w:sz="4" w:space="0" w:color="auto"/>
              <w:left w:val="single" w:sz="4" w:space="0" w:color="auto"/>
              <w:bottom w:val="single" w:sz="4" w:space="0" w:color="auto"/>
              <w:right w:val="single" w:sz="4" w:space="0" w:color="auto"/>
            </w:tcBorders>
            <w:shd w:val="clear" w:color="000000" w:fill="3494BA"/>
            <w:noWrap/>
            <w:vAlign w:val="center"/>
            <w:hideMark/>
          </w:tcPr>
          <w:p w14:paraId="63B5CAD5"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848" w:type="dxa"/>
            <w:tcBorders>
              <w:top w:val="single" w:sz="4" w:space="0" w:color="auto"/>
              <w:left w:val="single" w:sz="4" w:space="0" w:color="auto"/>
              <w:bottom w:val="single" w:sz="4" w:space="0" w:color="auto"/>
              <w:right w:val="single" w:sz="4" w:space="0" w:color="auto"/>
            </w:tcBorders>
            <w:shd w:val="clear" w:color="000000" w:fill="3494BA"/>
            <w:noWrap/>
            <w:vAlign w:val="center"/>
            <w:hideMark/>
          </w:tcPr>
          <w:p w14:paraId="5033427E" w14:textId="77777777" w:rsidR="007507DC" w:rsidRPr="00AC0422" w:rsidRDefault="007507DC" w:rsidP="007507DC">
            <w:pPr>
              <w:spacing w:after="0"/>
              <w:jc w:val="righ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$0.00</w:t>
            </w:r>
          </w:p>
        </w:tc>
        <w:tc>
          <w:tcPr>
            <w:tcW w:w="1360" w:type="dxa"/>
            <w:tcBorders>
              <w:top w:val="single" w:sz="4" w:space="0" w:color="auto"/>
              <w:left w:val="single" w:sz="4" w:space="0" w:color="auto"/>
              <w:bottom w:val="single" w:sz="4" w:space="0" w:color="auto"/>
              <w:right w:val="single" w:sz="4" w:space="0" w:color="auto"/>
            </w:tcBorders>
            <w:shd w:val="clear" w:color="000000" w:fill="3494BA"/>
            <w:noWrap/>
            <w:vAlign w:val="center"/>
            <w:hideMark/>
          </w:tcPr>
          <w:p w14:paraId="598AB1F1" w14:textId="77777777" w:rsidR="007507DC" w:rsidRPr="00AC0422" w:rsidRDefault="007507DC" w:rsidP="007507DC">
            <w:pPr>
              <w:spacing w:after="0"/>
              <w:jc w:val="left"/>
              <w:rPr>
                <w:rFonts w:asciiTheme="minorHAnsi" w:eastAsia="Times New Roman" w:hAnsiTheme="minorHAnsi" w:cstheme="minorHAnsi"/>
                <w:color w:val="FFFFFF"/>
                <w:sz w:val="18"/>
                <w:szCs w:val="18"/>
                <w:lang w:val="en-CA"/>
              </w:rPr>
            </w:pPr>
            <w:r w:rsidRPr="00AC0422">
              <w:rPr>
                <w:rFonts w:asciiTheme="minorHAnsi" w:eastAsia="Times New Roman" w:hAnsiTheme="minorHAnsi" w:cstheme="minorHAnsi"/>
                <w:color w:val="FFFFFF"/>
                <w:sz w:val="18"/>
                <w:szCs w:val="18"/>
                <w:lang w:val="en-CA"/>
              </w:rPr>
              <w:t> </w:t>
            </w:r>
          </w:p>
        </w:tc>
        <w:tc>
          <w:tcPr>
            <w:tcW w:w="319" w:type="dxa"/>
            <w:tcBorders>
              <w:top w:val="nil"/>
              <w:left w:val="nil"/>
              <w:bottom w:val="nil"/>
              <w:right w:val="nil"/>
            </w:tcBorders>
            <w:shd w:val="clear" w:color="000000" w:fill="FFFFFF"/>
            <w:noWrap/>
            <w:vAlign w:val="bottom"/>
            <w:hideMark/>
          </w:tcPr>
          <w:p w14:paraId="38D9400B"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0C79C30" w14:textId="77777777" w:rsidTr="007507DC">
        <w:trPr>
          <w:trHeight w:val="282"/>
        </w:trPr>
        <w:tc>
          <w:tcPr>
            <w:tcW w:w="359" w:type="dxa"/>
            <w:tcBorders>
              <w:top w:val="nil"/>
              <w:left w:val="nil"/>
              <w:bottom w:val="nil"/>
              <w:right w:val="nil"/>
            </w:tcBorders>
            <w:shd w:val="clear" w:color="auto" w:fill="auto"/>
            <w:noWrap/>
            <w:vAlign w:val="bottom"/>
            <w:hideMark/>
          </w:tcPr>
          <w:p w14:paraId="5E9115BB"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p>
        </w:tc>
        <w:tc>
          <w:tcPr>
            <w:tcW w:w="935" w:type="dxa"/>
            <w:tcBorders>
              <w:top w:val="nil"/>
              <w:left w:val="nil"/>
              <w:bottom w:val="nil"/>
              <w:right w:val="nil"/>
            </w:tcBorders>
            <w:shd w:val="clear" w:color="auto" w:fill="auto"/>
            <w:noWrap/>
            <w:vAlign w:val="bottom"/>
            <w:hideMark/>
          </w:tcPr>
          <w:p w14:paraId="7EFB85CA" w14:textId="77777777" w:rsidR="007507DC" w:rsidRPr="00AC0422" w:rsidRDefault="007507DC" w:rsidP="007507DC">
            <w:pPr>
              <w:spacing w:after="0"/>
              <w:jc w:val="left"/>
              <w:rPr>
                <w:rFonts w:asciiTheme="minorHAnsi" w:eastAsia="Times New Roman" w:hAnsiTheme="minorHAnsi" w:cstheme="minorHAnsi"/>
                <w:szCs w:val="20"/>
                <w:lang w:val="en-CA"/>
              </w:rPr>
            </w:pPr>
          </w:p>
        </w:tc>
        <w:tc>
          <w:tcPr>
            <w:tcW w:w="2780" w:type="dxa"/>
            <w:tcBorders>
              <w:top w:val="nil"/>
              <w:left w:val="nil"/>
              <w:bottom w:val="nil"/>
              <w:right w:val="nil"/>
            </w:tcBorders>
            <w:shd w:val="clear" w:color="000000" w:fill="FFFFFF"/>
            <w:noWrap/>
            <w:vAlign w:val="bottom"/>
            <w:hideMark/>
          </w:tcPr>
          <w:p w14:paraId="1248A067"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998" w:type="dxa"/>
            <w:tcBorders>
              <w:top w:val="nil"/>
              <w:left w:val="nil"/>
              <w:bottom w:val="nil"/>
              <w:right w:val="nil"/>
            </w:tcBorders>
            <w:shd w:val="clear" w:color="000000" w:fill="FFFFFF"/>
            <w:noWrap/>
            <w:vAlign w:val="bottom"/>
            <w:hideMark/>
          </w:tcPr>
          <w:p w14:paraId="073E593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998" w:type="dxa"/>
            <w:tcBorders>
              <w:top w:val="nil"/>
              <w:left w:val="nil"/>
              <w:bottom w:val="nil"/>
              <w:right w:val="nil"/>
            </w:tcBorders>
            <w:shd w:val="clear" w:color="000000" w:fill="FFFFFF"/>
            <w:noWrap/>
            <w:vAlign w:val="bottom"/>
            <w:hideMark/>
          </w:tcPr>
          <w:p w14:paraId="7DF1B652"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107" w:type="dxa"/>
            <w:tcBorders>
              <w:top w:val="nil"/>
              <w:left w:val="nil"/>
              <w:bottom w:val="nil"/>
              <w:right w:val="nil"/>
            </w:tcBorders>
            <w:shd w:val="clear" w:color="000000" w:fill="FFFFFF"/>
            <w:vAlign w:val="bottom"/>
            <w:hideMark/>
          </w:tcPr>
          <w:p w14:paraId="3CEC671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543BCE92"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45" w:type="dxa"/>
            <w:tcBorders>
              <w:top w:val="nil"/>
              <w:left w:val="nil"/>
              <w:bottom w:val="nil"/>
              <w:right w:val="nil"/>
            </w:tcBorders>
            <w:shd w:val="clear" w:color="000000" w:fill="FFFFFF"/>
            <w:noWrap/>
            <w:vAlign w:val="bottom"/>
            <w:hideMark/>
          </w:tcPr>
          <w:p w14:paraId="1570A27D" w14:textId="77777777" w:rsidR="007507DC" w:rsidRPr="00AC0422" w:rsidRDefault="007507DC" w:rsidP="007507DC">
            <w:pPr>
              <w:spacing w:after="0"/>
              <w:jc w:val="center"/>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1D165B05"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848" w:type="dxa"/>
            <w:tcBorders>
              <w:top w:val="nil"/>
              <w:left w:val="nil"/>
              <w:bottom w:val="nil"/>
              <w:right w:val="nil"/>
            </w:tcBorders>
            <w:shd w:val="clear" w:color="000000" w:fill="FFFFFF"/>
            <w:noWrap/>
            <w:vAlign w:val="bottom"/>
            <w:hideMark/>
          </w:tcPr>
          <w:p w14:paraId="7DAE9ED6"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360" w:type="dxa"/>
            <w:tcBorders>
              <w:top w:val="nil"/>
              <w:left w:val="nil"/>
              <w:bottom w:val="nil"/>
              <w:right w:val="nil"/>
            </w:tcBorders>
            <w:shd w:val="clear" w:color="000000" w:fill="FFFFFF"/>
            <w:noWrap/>
            <w:vAlign w:val="bottom"/>
            <w:hideMark/>
          </w:tcPr>
          <w:p w14:paraId="2F1077A5"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319" w:type="dxa"/>
            <w:tcBorders>
              <w:top w:val="nil"/>
              <w:left w:val="nil"/>
              <w:bottom w:val="nil"/>
              <w:right w:val="nil"/>
            </w:tcBorders>
            <w:shd w:val="clear" w:color="000000" w:fill="FFFFFF"/>
            <w:noWrap/>
            <w:vAlign w:val="bottom"/>
            <w:hideMark/>
          </w:tcPr>
          <w:p w14:paraId="25CAD12E"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236651B3" w14:textId="77777777" w:rsidTr="007507DC">
        <w:trPr>
          <w:trHeight w:val="525"/>
        </w:trPr>
        <w:tc>
          <w:tcPr>
            <w:tcW w:w="359" w:type="dxa"/>
            <w:tcBorders>
              <w:top w:val="nil"/>
              <w:left w:val="nil"/>
              <w:bottom w:val="nil"/>
              <w:right w:val="nil"/>
            </w:tcBorders>
            <w:shd w:val="clear" w:color="auto" w:fill="auto"/>
            <w:noWrap/>
            <w:vAlign w:val="bottom"/>
            <w:hideMark/>
          </w:tcPr>
          <w:p w14:paraId="34BFCC6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p>
        </w:tc>
        <w:tc>
          <w:tcPr>
            <w:tcW w:w="935" w:type="dxa"/>
            <w:tcBorders>
              <w:top w:val="single" w:sz="4" w:space="0" w:color="auto"/>
              <w:left w:val="single" w:sz="4" w:space="0" w:color="auto"/>
              <w:bottom w:val="single" w:sz="4" w:space="0" w:color="8EA9DB"/>
              <w:right w:val="single" w:sz="4" w:space="0" w:color="auto"/>
            </w:tcBorders>
            <w:shd w:val="clear" w:color="000000" w:fill="276E8B"/>
            <w:vAlign w:val="center"/>
            <w:hideMark/>
          </w:tcPr>
          <w:p w14:paraId="3D118C12" w14:textId="77777777" w:rsidR="007507DC" w:rsidRPr="00AC0422" w:rsidRDefault="007507DC" w:rsidP="007507DC">
            <w:pPr>
              <w:spacing w:after="0"/>
              <w:jc w:val="center"/>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Breakdown per Category </w:t>
            </w:r>
          </w:p>
        </w:tc>
        <w:tc>
          <w:tcPr>
            <w:tcW w:w="2780" w:type="dxa"/>
            <w:tcBorders>
              <w:top w:val="nil"/>
              <w:left w:val="nil"/>
              <w:bottom w:val="nil"/>
              <w:right w:val="nil"/>
            </w:tcBorders>
            <w:shd w:val="clear" w:color="000000" w:fill="FFFFFF"/>
            <w:noWrap/>
            <w:vAlign w:val="bottom"/>
            <w:hideMark/>
          </w:tcPr>
          <w:p w14:paraId="653763A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998" w:type="dxa"/>
            <w:tcBorders>
              <w:top w:val="nil"/>
              <w:left w:val="nil"/>
              <w:bottom w:val="nil"/>
              <w:right w:val="nil"/>
            </w:tcBorders>
            <w:shd w:val="clear" w:color="000000" w:fill="FFFFFF"/>
            <w:noWrap/>
            <w:vAlign w:val="bottom"/>
            <w:hideMark/>
          </w:tcPr>
          <w:p w14:paraId="18F70B0F"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998" w:type="dxa"/>
            <w:tcBorders>
              <w:top w:val="nil"/>
              <w:left w:val="nil"/>
              <w:bottom w:val="nil"/>
              <w:right w:val="nil"/>
            </w:tcBorders>
            <w:shd w:val="clear" w:color="000000" w:fill="FFFFFF"/>
            <w:noWrap/>
            <w:vAlign w:val="bottom"/>
            <w:hideMark/>
          </w:tcPr>
          <w:p w14:paraId="58700EEC"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107" w:type="dxa"/>
            <w:tcBorders>
              <w:top w:val="nil"/>
              <w:left w:val="nil"/>
              <w:bottom w:val="nil"/>
              <w:right w:val="nil"/>
            </w:tcBorders>
            <w:shd w:val="clear" w:color="000000" w:fill="FFFFFF"/>
            <w:vAlign w:val="bottom"/>
            <w:hideMark/>
          </w:tcPr>
          <w:p w14:paraId="5DF950B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409A8CA5"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45" w:type="dxa"/>
            <w:tcBorders>
              <w:top w:val="nil"/>
              <w:left w:val="nil"/>
              <w:bottom w:val="nil"/>
              <w:right w:val="nil"/>
            </w:tcBorders>
            <w:shd w:val="clear" w:color="000000" w:fill="FFFFFF"/>
            <w:noWrap/>
            <w:vAlign w:val="bottom"/>
            <w:hideMark/>
          </w:tcPr>
          <w:p w14:paraId="04125BB4" w14:textId="77777777" w:rsidR="007507DC" w:rsidRPr="00AC0422" w:rsidRDefault="007507DC" w:rsidP="007507DC">
            <w:pPr>
              <w:spacing w:after="0"/>
              <w:jc w:val="center"/>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4F54BFF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848" w:type="dxa"/>
            <w:tcBorders>
              <w:top w:val="nil"/>
              <w:left w:val="nil"/>
              <w:bottom w:val="nil"/>
              <w:right w:val="nil"/>
            </w:tcBorders>
            <w:shd w:val="clear" w:color="000000" w:fill="FFFFFF"/>
            <w:noWrap/>
            <w:vAlign w:val="bottom"/>
            <w:hideMark/>
          </w:tcPr>
          <w:p w14:paraId="01561E36"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360" w:type="dxa"/>
            <w:tcBorders>
              <w:top w:val="nil"/>
              <w:left w:val="nil"/>
              <w:bottom w:val="nil"/>
              <w:right w:val="nil"/>
            </w:tcBorders>
            <w:shd w:val="clear" w:color="000000" w:fill="FFFFFF"/>
            <w:noWrap/>
            <w:vAlign w:val="bottom"/>
            <w:hideMark/>
          </w:tcPr>
          <w:p w14:paraId="5FD1B42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319" w:type="dxa"/>
            <w:tcBorders>
              <w:top w:val="nil"/>
              <w:left w:val="nil"/>
              <w:bottom w:val="nil"/>
              <w:right w:val="nil"/>
            </w:tcBorders>
            <w:shd w:val="clear" w:color="000000" w:fill="FFFFFF"/>
            <w:noWrap/>
            <w:vAlign w:val="bottom"/>
            <w:hideMark/>
          </w:tcPr>
          <w:p w14:paraId="0AF9921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CB290F3" w14:textId="77777777" w:rsidTr="007507DC">
        <w:trPr>
          <w:trHeight w:val="423"/>
        </w:trPr>
        <w:tc>
          <w:tcPr>
            <w:tcW w:w="359" w:type="dxa"/>
            <w:tcBorders>
              <w:top w:val="nil"/>
              <w:left w:val="nil"/>
              <w:bottom w:val="nil"/>
              <w:right w:val="nil"/>
            </w:tcBorders>
            <w:shd w:val="clear" w:color="auto" w:fill="auto"/>
            <w:noWrap/>
            <w:vAlign w:val="bottom"/>
            <w:hideMark/>
          </w:tcPr>
          <w:p w14:paraId="27591599"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p>
        </w:tc>
        <w:tc>
          <w:tcPr>
            <w:tcW w:w="935"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1F9E52B2"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Planned Goods</w:t>
            </w:r>
          </w:p>
        </w:tc>
        <w:tc>
          <w:tcPr>
            <w:tcW w:w="2780" w:type="dxa"/>
            <w:tcBorders>
              <w:top w:val="single" w:sz="4" w:space="0" w:color="auto"/>
              <w:left w:val="nil"/>
              <w:bottom w:val="single" w:sz="4" w:space="0" w:color="8EA9DB"/>
              <w:right w:val="single" w:sz="4" w:space="0" w:color="auto"/>
            </w:tcBorders>
            <w:shd w:val="clear" w:color="000000" w:fill="3494BA"/>
            <w:vAlign w:val="center"/>
            <w:hideMark/>
          </w:tcPr>
          <w:p w14:paraId="17D72E6A"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single" w:sz="4" w:space="0" w:color="auto"/>
              <w:left w:val="nil"/>
              <w:bottom w:val="single" w:sz="4" w:space="0" w:color="8EA9DB"/>
              <w:right w:val="single" w:sz="4" w:space="0" w:color="auto"/>
            </w:tcBorders>
            <w:shd w:val="clear" w:color="000000" w:fill="3494BA"/>
            <w:vAlign w:val="center"/>
            <w:hideMark/>
          </w:tcPr>
          <w:p w14:paraId="351C5161"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nil"/>
              <w:bottom w:val="single" w:sz="4" w:space="0" w:color="8EA9DB"/>
              <w:right w:val="single" w:sz="4" w:space="0" w:color="auto"/>
            </w:tcBorders>
            <w:shd w:val="clear" w:color="000000" w:fill="3494BA"/>
            <w:vAlign w:val="center"/>
            <w:hideMark/>
          </w:tcPr>
          <w:p w14:paraId="1A6ACAE9"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 $           163,000.00 </w:t>
            </w:r>
          </w:p>
        </w:tc>
        <w:tc>
          <w:tcPr>
            <w:tcW w:w="1107" w:type="dxa"/>
            <w:tcBorders>
              <w:top w:val="nil"/>
              <w:left w:val="nil"/>
              <w:bottom w:val="nil"/>
              <w:right w:val="nil"/>
            </w:tcBorders>
            <w:shd w:val="clear" w:color="000000" w:fill="FFFFFF"/>
            <w:vAlign w:val="bottom"/>
            <w:hideMark/>
          </w:tcPr>
          <w:p w14:paraId="0DF709DD"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5942261F"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45" w:type="dxa"/>
            <w:tcBorders>
              <w:top w:val="nil"/>
              <w:left w:val="nil"/>
              <w:bottom w:val="nil"/>
              <w:right w:val="nil"/>
            </w:tcBorders>
            <w:shd w:val="clear" w:color="000000" w:fill="FFFFFF"/>
            <w:noWrap/>
            <w:vAlign w:val="bottom"/>
            <w:hideMark/>
          </w:tcPr>
          <w:p w14:paraId="59BD4E00" w14:textId="77777777" w:rsidR="007507DC" w:rsidRPr="00AC0422" w:rsidRDefault="007507DC" w:rsidP="007507DC">
            <w:pPr>
              <w:spacing w:after="0"/>
              <w:jc w:val="center"/>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4E662E9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848" w:type="dxa"/>
            <w:tcBorders>
              <w:top w:val="nil"/>
              <w:left w:val="nil"/>
              <w:bottom w:val="nil"/>
              <w:right w:val="nil"/>
            </w:tcBorders>
            <w:shd w:val="clear" w:color="000000" w:fill="FFFFFF"/>
            <w:noWrap/>
            <w:vAlign w:val="bottom"/>
            <w:hideMark/>
          </w:tcPr>
          <w:p w14:paraId="41153EF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360" w:type="dxa"/>
            <w:tcBorders>
              <w:top w:val="nil"/>
              <w:left w:val="nil"/>
              <w:bottom w:val="nil"/>
              <w:right w:val="nil"/>
            </w:tcBorders>
            <w:shd w:val="clear" w:color="000000" w:fill="FFFFFF"/>
            <w:noWrap/>
            <w:vAlign w:val="bottom"/>
            <w:hideMark/>
          </w:tcPr>
          <w:p w14:paraId="671DCF8A"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319" w:type="dxa"/>
            <w:tcBorders>
              <w:top w:val="nil"/>
              <w:left w:val="nil"/>
              <w:bottom w:val="nil"/>
              <w:right w:val="nil"/>
            </w:tcBorders>
            <w:shd w:val="clear" w:color="000000" w:fill="FFFFFF"/>
            <w:noWrap/>
            <w:vAlign w:val="bottom"/>
            <w:hideMark/>
          </w:tcPr>
          <w:p w14:paraId="7DAFCF59"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8A10051" w14:textId="77777777" w:rsidTr="007507DC">
        <w:trPr>
          <w:trHeight w:val="788"/>
        </w:trPr>
        <w:tc>
          <w:tcPr>
            <w:tcW w:w="359" w:type="dxa"/>
            <w:tcBorders>
              <w:top w:val="nil"/>
              <w:left w:val="nil"/>
              <w:bottom w:val="nil"/>
              <w:right w:val="nil"/>
            </w:tcBorders>
            <w:shd w:val="clear" w:color="auto" w:fill="auto"/>
            <w:noWrap/>
            <w:vAlign w:val="bottom"/>
            <w:hideMark/>
          </w:tcPr>
          <w:p w14:paraId="496FB1A3"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p>
        </w:tc>
        <w:tc>
          <w:tcPr>
            <w:tcW w:w="935"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5CFEA19D"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Planned Non-Consulting Services</w:t>
            </w:r>
          </w:p>
        </w:tc>
        <w:tc>
          <w:tcPr>
            <w:tcW w:w="2780" w:type="dxa"/>
            <w:tcBorders>
              <w:top w:val="single" w:sz="4" w:space="0" w:color="auto"/>
              <w:left w:val="nil"/>
              <w:bottom w:val="single" w:sz="4" w:space="0" w:color="auto"/>
              <w:right w:val="single" w:sz="4" w:space="0" w:color="auto"/>
            </w:tcBorders>
            <w:shd w:val="clear" w:color="000000" w:fill="3494BA"/>
            <w:vAlign w:val="center"/>
            <w:hideMark/>
          </w:tcPr>
          <w:p w14:paraId="2F8AF75A"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single" w:sz="4" w:space="0" w:color="auto"/>
              <w:left w:val="nil"/>
              <w:bottom w:val="single" w:sz="4" w:space="0" w:color="auto"/>
              <w:right w:val="single" w:sz="4" w:space="0" w:color="auto"/>
            </w:tcBorders>
            <w:shd w:val="clear" w:color="000000" w:fill="3494BA"/>
            <w:vAlign w:val="center"/>
            <w:hideMark/>
          </w:tcPr>
          <w:p w14:paraId="01400015"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nil"/>
              <w:bottom w:val="single" w:sz="4" w:space="0" w:color="8EA9DB"/>
              <w:right w:val="single" w:sz="4" w:space="0" w:color="auto"/>
            </w:tcBorders>
            <w:shd w:val="clear" w:color="000000" w:fill="3494BA"/>
            <w:vAlign w:val="center"/>
            <w:hideMark/>
          </w:tcPr>
          <w:p w14:paraId="0F4FC494"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 $           380,750.00 </w:t>
            </w:r>
          </w:p>
        </w:tc>
        <w:tc>
          <w:tcPr>
            <w:tcW w:w="1107" w:type="dxa"/>
            <w:tcBorders>
              <w:top w:val="nil"/>
              <w:left w:val="nil"/>
              <w:bottom w:val="nil"/>
              <w:right w:val="nil"/>
            </w:tcBorders>
            <w:shd w:val="clear" w:color="000000" w:fill="FFFFFF"/>
            <w:vAlign w:val="bottom"/>
            <w:hideMark/>
          </w:tcPr>
          <w:p w14:paraId="023515EC"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4996A78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45" w:type="dxa"/>
            <w:tcBorders>
              <w:top w:val="nil"/>
              <w:left w:val="nil"/>
              <w:bottom w:val="nil"/>
              <w:right w:val="nil"/>
            </w:tcBorders>
            <w:shd w:val="clear" w:color="000000" w:fill="FFFFFF"/>
            <w:noWrap/>
            <w:vAlign w:val="bottom"/>
            <w:hideMark/>
          </w:tcPr>
          <w:p w14:paraId="33A5F5B9" w14:textId="77777777" w:rsidR="007507DC" w:rsidRPr="00AC0422" w:rsidRDefault="007507DC" w:rsidP="007507DC">
            <w:pPr>
              <w:spacing w:after="0"/>
              <w:jc w:val="center"/>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00D07CD3"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848" w:type="dxa"/>
            <w:tcBorders>
              <w:top w:val="nil"/>
              <w:left w:val="nil"/>
              <w:bottom w:val="nil"/>
              <w:right w:val="nil"/>
            </w:tcBorders>
            <w:shd w:val="clear" w:color="000000" w:fill="FFFFFF"/>
            <w:noWrap/>
            <w:vAlign w:val="bottom"/>
            <w:hideMark/>
          </w:tcPr>
          <w:p w14:paraId="59514A1F"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360" w:type="dxa"/>
            <w:tcBorders>
              <w:top w:val="nil"/>
              <w:left w:val="nil"/>
              <w:bottom w:val="nil"/>
              <w:right w:val="nil"/>
            </w:tcBorders>
            <w:shd w:val="clear" w:color="000000" w:fill="FFFFFF"/>
            <w:noWrap/>
            <w:vAlign w:val="bottom"/>
            <w:hideMark/>
          </w:tcPr>
          <w:p w14:paraId="1E956C32"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319" w:type="dxa"/>
            <w:tcBorders>
              <w:top w:val="nil"/>
              <w:left w:val="nil"/>
              <w:bottom w:val="nil"/>
              <w:right w:val="nil"/>
            </w:tcBorders>
            <w:shd w:val="clear" w:color="000000" w:fill="FFFFFF"/>
            <w:noWrap/>
            <w:vAlign w:val="bottom"/>
            <w:hideMark/>
          </w:tcPr>
          <w:p w14:paraId="65646C70"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7AF57B01" w14:textId="77777777" w:rsidTr="007507DC">
        <w:trPr>
          <w:trHeight w:val="455"/>
        </w:trPr>
        <w:tc>
          <w:tcPr>
            <w:tcW w:w="359" w:type="dxa"/>
            <w:tcBorders>
              <w:top w:val="nil"/>
              <w:left w:val="nil"/>
              <w:bottom w:val="nil"/>
              <w:right w:val="nil"/>
            </w:tcBorders>
            <w:shd w:val="clear" w:color="auto" w:fill="auto"/>
            <w:noWrap/>
            <w:vAlign w:val="bottom"/>
            <w:hideMark/>
          </w:tcPr>
          <w:p w14:paraId="3396186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p>
        </w:tc>
        <w:tc>
          <w:tcPr>
            <w:tcW w:w="935" w:type="dxa"/>
            <w:tcBorders>
              <w:top w:val="nil"/>
              <w:left w:val="single" w:sz="4" w:space="0" w:color="auto"/>
              <w:bottom w:val="single" w:sz="4" w:space="0" w:color="8EA9DB"/>
              <w:right w:val="single" w:sz="4" w:space="0" w:color="auto"/>
            </w:tcBorders>
            <w:shd w:val="clear" w:color="000000" w:fill="3494BA"/>
            <w:vAlign w:val="center"/>
            <w:hideMark/>
          </w:tcPr>
          <w:p w14:paraId="20327C90"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Planned Works </w:t>
            </w:r>
          </w:p>
        </w:tc>
        <w:tc>
          <w:tcPr>
            <w:tcW w:w="2780" w:type="dxa"/>
            <w:tcBorders>
              <w:top w:val="nil"/>
              <w:left w:val="nil"/>
              <w:bottom w:val="single" w:sz="4" w:space="0" w:color="8EA9DB"/>
              <w:right w:val="single" w:sz="4" w:space="0" w:color="auto"/>
            </w:tcBorders>
            <w:shd w:val="clear" w:color="000000" w:fill="3494BA"/>
            <w:vAlign w:val="center"/>
            <w:hideMark/>
          </w:tcPr>
          <w:p w14:paraId="4BE157AF"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nil"/>
              <w:left w:val="nil"/>
              <w:bottom w:val="single" w:sz="4" w:space="0" w:color="8EA9DB"/>
              <w:right w:val="single" w:sz="4" w:space="0" w:color="auto"/>
            </w:tcBorders>
            <w:shd w:val="clear" w:color="000000" w:fill="3494BA"/>
            <w:vAlign w:val="center"/>
            <w:hideMark/>
          </w:tcPr>
          <w:p w14:paraId="1EEDB755"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nil"/>
              <w:bottom w:val="single" w:sz="4" w:space="0" w:color="8EA9DB"/>
              <w:right w:val="single" w:sz="4" w:space="0" w:color="auto"/>
            </w:tcBorders>
            <w:shd w:val="clear" w:color="000000" w:fill="3494BA"/>
            <w:vAlign w:val="center"/>
            <w:hideMark/>
          </w:tcPr>
          <w:p w14:paraId="209EFACB"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 $                        -   </w:t>
            </w:r>
          </w:p>
        </w:tc>
        <w:tc>
          <w:tcPr>
            <w:tcW w:w="1107" w:type="dxa"/>
            <w:tcBorders>
              <w:top w:val="nil"/>
              <w:left w:val="nil"/>
              <w:bottom w:val="nil"/>
              <w:right w:val="nil"/>
            </w:tcBorders>
            <w:shd w:val="clear" w:color="000000" w:fill="FFFFFF"/>
            <w:vAlign w:val="bottom"/>
            <w:hideMark/>
          </w:tcPr>
          <w:p w14:paraId="0E07F91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62EBBBCC"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45" w:type="dxa"/>
            <w:tcBorders>
              <w:top w:val="nil"/>
              <w:left w:val="nil"/>
              <w:bottom w:val="nil"/>
              <w:right w:val="nil"/>
            </w:tcBorders>
            <w:shd w:val="clear" w:color="000000" w:fill="FFFFFF"/>
            <w:noWrap/>
            <w:vAlign w:val="bottom"/>
            <w:hideMark/>
          </w:tcPr>
          <w:p w14:paraId="08907627" w14:textId="77777777" w:rsidR="007507DC" w:rsidRPr="00AC0422" w:rsidRDefault="007507DC" w:rsidP="007507DC">
            <w:pPr>
              <w:spacing w:after="0"/>
              <w:jc w:val="center"/>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29115F0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848" w:type="dxa"/>
            <w:tcBorders>
              <w:top w:val="nil"/>
              <w:left w:val="nil"/>
              <w:bottom w:val="nil"/>
              <w:right w:val="nil"/>
            </w:tcBorders>
            <w:shd w:val="clear" w:color="000000" w:fill="FFFFFF"/>
            <w:noWrap/>
            <w:vAlign w:val="bottom"/>
            <w:hideMark/>
          </w:tcPr>
          <w:p w14:paraId="1A7682FB"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360" w:type="dxa"/>
            <w:tcBorders>
              <w:top w:val="nil"/>
              <w:left w:val="nil"/>
              <w:bottom w:val="nil"/>
              <w:right w:val="nil"/>
            </w:tcBorders>
            <w:shd w:val="clear" w:color="000000" w:fill="FFFFFF"/>
            <w:noWrap/>
            <w:vAlign w:val="bottom"/>
            <w:hideMark/>
          </w:tcPr>
          <w:p w14:paraId="4F8B93F3"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319" w:type="dxa"/>
            <w:tcBorders>
              <w:top w:val="nil"/>
              <w:left w:val="nil"/>
              <w:bottom w:val="nil"/>
              <w:right w:val="nil"/>
            </w:tcBorders>
            <w:shd w:val="clear" w:color="000000" w:fill="FFFFFF"/>
            <w:noWrap/>
            <w:vAlign w:val="bottom"/>
            <w:hideMark/>
          </w:tcPr>
          <w:p w14:paraId="38B7B70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17A429F8" w14:textId="77777777" w:rsidTr="007507DC">
        <w:trPr>
          <w:trHeight w:val="525"/>
        </w:trPr>
        <w:tc>
          <w:tcPr>
            <w:tcW w:w="359" w:type="dxa"/>
            <w:tcBorders>
              <w:top w:val="nil"/>
              <w:left w:val="nil"/>
              <w:bottom w:val="nil"/>
              <w:right w:val="nil"/>
            </w:tcBorders>
            <w:shd w:val="clear" w:color="auto" w:fill="auto"/>
            <w:noWrap/>
            <w:vAlign w:val="bottom"/>
            <w:hideMark/>
          </w:tcPr>
          <w:p w14:paraId="367CD20B"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p>
        </w:tc>
        <w:tc>
          <w:tcPr>
            <w:tcW w:w="935" w:type="dxa"/>
            <w:tcBorders>
              <w:top w:val="single" w:sz="4" w:space="0" w:color="auto"/>
              <w:left w:val="single" w:sz="4" w:space="0" w:color="auto"/>
              <w:bottom w:val="single" w:sz="4" w:space="0" w:color="8EA9DB"/>
              <w:right w:val="single" w:sz="4" w:space="0" w:color="auto"/>
            </w:tcBorders>
            <w:shd w:val="clear" w:color="000000" w:fill="3494BA"/>
            <w:vAlign w:val="center"/>
            <w:hideMark/>
          </w:tcPr>
          <w:p w14:paraId="6D92D36C"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Planned Consulting Services (PS)</w:t>
            </w:r>
          </w:p>
        </w:tc>
        <w:tc>
          <w:tcPr>
            <w:tcW w:w="2780" w:type="dxa"/>
            <w:tcBorders>
              <w:top w:val="single" w:sz="4" w:space="0" w:color="auto"/>
              <w:left w:val="nil"/>
              <w:bottom w:val="single" w:sz="4" w:space="0" w:color="8EA9DB"/>
              <w:right w:val="single" w:sz="4" w:space="0" w:color="auto"/>
            </w:tcBorders>
            <w:shd w:val="clear" w:color="000000" w:fill="3494BA"/>
            <w:vAlign w:val="center"/>
            <w:hideMark/>
          </w:tcPr>
          <w:p w14:paraId="34C5D7DC"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single" w:sz="4" w:space="0" w:color="auto"/>
              <w:left w:val="nil"/>
              <w:bottom w:val="single" w:sz="4" w:space="0" w:color="8EA9DB"/>
              <w:right w:val="single" w:sz="4" w:space="0" w:color="auto"/>
            </w:tcBorders>
            <w:shd w:val="clear" w:color="000000" w:fill="3494BA"/>
            <w:vAlign w:val="center"/>
            <w:hideMark/>
          </w:tcPr>
          <w:p w14:paraId="24F6F5E7"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nil"/>
              <w:bottom w:val="single" w:sz="4" w:space="0" w:color="8EA9DB"/>
              <w:right w:val="single" w:sz="4" w:space="0" w:color="auto"/>
            </w:tcBorders>
            <w:shd w:val="clear" w:color="000000" w:fill="3494BA"/>
            <w:vAlign w:val="center"/>
            <w:hideMark/>
          </w:tcPr>
          <w:p w14:paraId="314476BC"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 $           165,500.00 </w:t>
            </w:r>
          </w:p>
        </w:tc>
        <w:tc>
          <w:tcPr>
            <w:tcW w:w="1107" w:type="dxa"/>
            <w:tcBorders>
              <w:top w:val="nil"/>
              <w:left w:val="nil"/>
              <w:bottom w:val="nil"/>
              <w:right w:val="nil"/>
            </w:tcBorders>
            <w:shd w:val="clear" w:color="000000" w:fill="FFFFFF"/>
            <w:vAlign w:val="bottom"/>
            <w:hideMark/>
          </w:tcPr>
          <w:p w14:paraId="2A8BDFA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530F6C25"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45" w:type="dxa"/>
            <w:tcBorders>
              <w:top w:val="nil"/>
              <w:left w:val="nil"/>
              <w:bottom w:val="nil"/>
              <w:right w:val="nil"/>
            </w:tcBorders>
            <w:shd w:val="clear" w:color="000000" w:fill="FFFFFF"/>
            <w:noWrap/>
            <w:vAlign w:val="bottom"/>
            <w:hideMark/>
          </w:tcPr>
          <w:p w14:paraId="11B4B1EB" w14:textId="77777777" w:rsidR="007507DC" w:rsidRPr="00AC0422" w:rsidRDefault="007507DC" w:rsidP="007507DC">
            <w:pPr>
              <w:spacing w:after="0"/>
              <w:jc w:val="center"/>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5C1A3C1E"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848" w:type="dxa"/>
            <w:tcBorders>
              <w:top w:val="nil"/>
              <w:left w:val="nil"/>
              <w:bottom w:val="nil"/>
              <w:right w:val="nil"/>
            </w:tcBorders>
            <w:shd w:val="clear" w:color="000000" w:fill="FFFFFF"/>
            <w:noWrap/>
            <w:vAlign w:val="bottom"/>
            <w:hideMark/>
          </w:tcPr>
          <w:p w14:paraId="75812A2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360" w:type="dxa"/>
            <w:tcBorders>
              <w:top w:val="nil"/>
              <w:left w:val="nil"/>
              <w:bottom w:val="nil"/>
              <w:right w:val="nil"/>
            </w:tcBorders>
            <w:shd w:val="clear" w:color="000000" w:fill="FFFFFF"/>
            <w:noWrap/>
            <w:vAlign w:val="bottom"/>
            <w:hideMark/>
          </w:tcPr>
          <w:p w14:paraId="773A2F0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319" w:type="dxa"/>
            <w:tcBorders>
              <w:top w:val="nil"/>
              <w:left w:val="nil"/>
              <w:bottom w:val="nil"/>
              <w:right w:val="nil"/>
            </w:tcBorders>
            <w:shd w:val="clear" w:color="000000" w:fill="FFFFFF"/>
            <w:noWrap/>
            <w:vAlign w:val="bottom"/>
            <w:hideMark/>
          </w:tcPr>
          <w:p w14:paraId="0E2AB666"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r w:rsidR="007507DC" w:rsidRPr="00AC0422" w14:paraId="5FAF3104" w14:textId="77777777" w:rsidTr="007507DC">
        <w:trPr>
          <w:trHeight w:val="525"/>
        </w:trPr>
        <w:tc>
          <w:tcPr>
            <w:tcW w:w="359" w:type="dxa"/>
            <w:tcBorders>
              <w:top w:val="nil"/>
              <w:left w:val="nil"/>
              <w:bottom w:val="nil"/>
              <w:right w:val="nil"/>
            </w:tcBorders>
            <w:shd w:val="clear" w:color="auto" w:fill="auto"/>
            <w:noWrap/>
            <w:vAlign w:val="bottom"/>
            <w:hideMark/>
          </w:tcPr>
          <w:p w14:paraId="0FEACA71"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p>
        </w:tc>
        <w:tc>
          <w:tcPr>
            <w:tcW w:w="935" w:type="dxa"/>
            <w:tcBorders>
              <w:top w:val="single" w:sz="4" w:space="0" w:color="auto"/>
              <w:left w:val="single" w:sz="4" w:space="0" w:color="auto"/>
              <w:bottom w:val="single" w:sz="4" w:space="0" w:color="auto"/>
              <w:right w:val="single" w:sz="4" w:space="0" w:color="auto"/>
            </w:tcBorders>
            <w:shd w:val="clear" w:color="000000" w:fill="3494BA"/>
            <w:vAlign w:val="center"/>
            <w:hideMark/>
          </w:tcPr>
          <w:p w14:paraId="3D64FF22"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Planned Consulting Services (IC)</w:t>
            </w:r>
          </w:p>
        </w:tc>
        <w:tc>
          <w:tcPr>
            <w:tcW w:w="2780" w:type="dxa"/>
            <w:tcBorders>
              <w:top w:val="single" w:sz="4" w:space="0" w:color="auto"/>
              <w:left w:val="nil"/>
              <w:bottom w:val="single" w:sz="4" w:space="0" w:color="auto"/>
              <w:right w:val="single" w:sz="4" w:space="0" w:color="auto"/>
            </w:tcBorders>
            <w:shd w:val="clear" w:color="000000" w:fill="3494BA"/>
            <w:vAlign w:val="center"/>
            <w:hideMark/>
          </w:tcPr>
          <w:p w14:paraId="669C8A06"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Total $(USD)</w:t>
            </w:r>
          </w:p>
        </w:tc>
        <w:tc>
          <w:tcPr>
            <w:tcW w:w="998" w:type="dxa"/>
            <w:tcBorders>
              <w:top w:val="single" w:sz="4" w:space="0" w:color="auto"/>
              <w:left w:val="nil"/>
              <w:bottom w:val="single" w:sz="4" w:space="0" w:color="auto"/>
              <w:right w:val="single" w:sz="4" w:space="0" w:color="auto"/>
            </w:tcBorders>
            <w:shd w:val="clear" w:color="000000" w:fill="3494BA"/>
            <w:vAlign w:val="center"/>
            <w:hideMark/>
          </w:tcPr>
          <w:p w14:paraId="1E67FDBF"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w:t>
            </w:r>
          </w:p>
        </w:tc>
        <w:tc>
          <w:tcPr>
            <w:tcW w:w="998" w:type="dxa"/>
            <w:tcBorders>
              <w:top w:val="single" w:sz="4" w:space="0" w:color="auto"/>
              <w:left w:val="nil"/>
              <w:bottom w:val="single" w:sz="4" w:space="0" w:color="8EA9DB"/>
              <w:right w:val="single" w:sz="4" w:space="0" w:color="auto"/>
            </w:tcBorders>
            <w:shd w:val="clear" w:color="000000" w:fill="3494BA"/>
            <w:vAlign w:val="center"/>
            <w:hideMark/>
          </w:tcPr>
          <w:p w14:paraId="167E3BA4" w14:textId="77777777" w:rsidR="007507DC" w:rsidRPr="00AC0422" w:rsidRDefault="007507DC" w:rsidP="007507DC">
            <w:pPr>
              <w:spacing w:after="0"/>
              <w:jc w:val="left"/>
              <w:rPr>
                <w:rFonts w:asciiTheme="minorHAnsi" w:eastAsia="Times New Roman" w:hAnsiTheme="minorHAnsi" w:cstheme="minorHAnsi"/>
                <w:b/>
                <w:bCs/>
                <w:color w:val="FFFFFF"/>
                <w:sz w:val="18"/>
                <w:szCs w:val="18"/>
                <w:lang w:val="en-CA"/>
              </w:rPr>
            </w:pPr>
            <w:r w:rsidRPr="00AC0422">
              <w:rPr>
                <w:rFonts w:asciiTheme="minorHAnsi" w:eastAsia="Times New Roman" w:hAnsiTheme="minorHAnsi" w:cstheme="minorHAnsi"/>
                <w:b/>
                <w:bCs/>
                <w:color w:val="FFFFFF"/>
                <w:sz w:val="18"/>
                <w:szCs w:val="18"/>
                <w:lang w:val="en-CA"/>
              </w:rPr>
              <w:t xml:space="preserve"> $         1,796,250.00 </w:t>
            </w:r>
          </w:p>
        </w:tc>
        <w:tc>
          <w:tcPr>
            <w:tcW w:w="1107" w:type="dxa"/>
            <w:tcBorders>
              <w:top w:val="nil"/>
              <w:left w:val="nil"/>
              <w:bottom w:val="nil"/>
              <w:right w:val="nil"/>
            </w:tcBorders>
            <w:shd w:val="clear" w:color="000000" w:fill="FFFFFF"/>
            <w:vAlign w:val="bottom"/>
            <w:hideMark/>
          </w:tcPr>
          <w:p w14:paraId="03C2BF59"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613378B8"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45" w:type="dxa"/>
            <w:tcBorders>
              <w:top w:val="nil"/>
              <w:left w:val="nil"/>
              <w:bottom w:val="nil"/>
              <w:right w:val="nil"/>
            </w:tcBorders>
            <w:shd w:val="clear" w:color="000000" w:fill="FFFFFF"/>
            <w:noWrap/>
            <w:vAlign w:val="bottom"/>
            <w:hideMark/>
          </w:tcPr>
          <w:p w14:paraId="0EAB1E50" w14:textId="77777777" w:rsidR="007507DC" w:rsidRPr="00AC0422" w:rsidRDefault="007507DC" w:rsidP="007507DC">
            <w:pPr>
              <w:spacing w:after="0"/>
              <w:jc w:val="center"/>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037" w:type="dxa"/>
            <w:tcBorders>
              <w:top w:val="nil"/>
              <w:left w:val="nil"/>
              <w:bottom w:val="nil"/>
              <w:right w:val="nil"/>
            </w:tcBorders>
            <w:shd w:val="clear" w:color="000000" w:fill="FFFFFF"/>
            <w:noWrap/>
            <w:vAlign w:val="bottom"/>
            <w:hideMark/>
          </w:tcPr>
          <w:p w14:paraId="55B69304"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848" w:type="dxa"/>
            <w:tcBorders>
              <w:top w:val="nil"/>
              <w:left w:val="nil"/>
              <w:bottom w:val="nil"/>
              <w:right w:val="nil"/>
            </w:tcBorders>
            <w:shd w:val="clear" w:color="000000" w:fill="FFFFFF"/>
            <w:noWrap/>
            <w:vAlign w:val="bottom"/>
            <w:hideMark/>
          </w:tcPr>
          <w:p w14:paraId="5832E3E2"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1360" w:type="dxa"/>
            <w:tcBorders>
              <w:top w:val="nil"/>
              <w:left w:val="nil"/>
              <w:bottom w:val="nil"/>
              <w:right w:val="nil"/>
            </w:tcBorders>
            <w:shd w:val="clear" w:color="000000" w:fill="FFFFFF"/>
            <w:noWrap/>
            <w:vAlign w:val="bottom"/>
            <w:hideMark/>
          </w:tcPr>
          <w:p w14:paraId="335D305E"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c>
          <w:tcPr>
            <w:tcW w:w="319" w:type="dxa"/>
            <w:tcBorders>
              <w:top w:val="nil"/>
              <w:left w:val="nil"/>
              <w:bottom w:val="nil"/>
              <w:right w:val="nil"/>
            </w:tcBorders>
            <w:shd w:val="clear" w:color="000000" w:fill="FFFFFF"/>
            <w:noWrap/>
            <w:vAlign w:val="bottom"/>
            <w:hideMark/>
          </w:tcPr>
          <w:p w14:paraId="191542C5" w14:textId="77777777" w:rsidR="007507DC" w:rsidRPr="00AC0422" w:rsidRDefault="007507DC" w:rsidP="007507DC">
            <w:pPr>
              <w:spacing w:after="0"/>
              <w:jc w:val="left"/>
              <w:rPr>
                <w:rFonts w:asciiTheme="minorHAnsi" w:eastAsia="Times New Roman" w:hAnsiTheme="minorHAnsi" w:cstheme="minorHAnsi"/>
                <w:color w:val="000000"/>
                <w:sz w:val="22"/>
                <w:szCs w:val="22"/>
                <w:lang w:val="en-CA"/>
              </w:rPr>
            </w:pPr>
            <w:r w:rsidRPr="00AC0422">
              <w:rPr>
                <w:rFonts w:asciiTheme="minorHAnsi" w:eastAsia="Times New Roman" w:hAnsiTheme="minorHAnsi" w:cstheme="minorHAnsi"/>
                <w:color w:val="000000"/>
                <w:sz w:val="22"/>
                <w:szCs w:val="22"/>
                <w:lang w:val="en-CA"/>
              </w:rPr>
              <w:t> </w:t>
            </w:r>
          </w:p>
        </w:tc>
      </w:tr>
    </w:tbl>
    <w:p w14:paraId="4CB00807" w14:textId="77777777" w:rsidR="00D46E55" w:rsidRPr="00AC0422" w:rsidRDefault="00D46E55" w:rsidP="00D46E55">
      <w:pPr>
        <w:rPr>
          <w:rFonts w:asciiTheme="minorHAnsi" w:hAnsiTheme="minorHAnsi" w:cstheme="minorHAnsi"/>
        </w:rPr>
      </w:pPr>
      <w:bookmarkStart w:id="45" w:name="_Toc40273949"/>
    </w:p>
    <w:p w14:paraId="213CB05D" w14:textId="77777777" w:rsidR="00D46E55" w:rsidRPr="00AC0422" w:rsidRDefault="00D46E55" w:rsidP="00D46E55">
      <w:pPr>
        <w:rPr>
          <w:rFonts w:asciiTheme="minorHAnsi" w:hAnsiTheme="minorHAnsi" w:cstheme="minorHAnsi"/>
        </w:rPr>
      </w:pPr>
    </w:p>
    <w:p w14:paraId="3AE02471" w14:textId="77777777" w:rsidR="00D46E55" w:rsidRPr="00AC0422" w:rsidRDefault="00D46E55" w:rsidP="006705C7">
      <w:pPr>
        <w:pStyle w:val="Heading2"/>
        <w:rPr>
          <w:rFonts w:asciiTheme="minorHAnsi" w:hAnsiTheme="minorHAnsi" w:cstheme="minorHAnsi"/>
          <w:sz w:val="24"/>
        </w:rPr>
        <w:sectPr w:rsidR="00D46E55" w:rsidRPr="00AC0422" w:rsidSect="00950B12">
          <w:pgSz w:w="15840" w:h="12240" w:orient="landscape" w:code="1"/>
          <w:pgMar w:top="1440" w:right="1440" w:bottom="1440" w:left="1440" w:header="720" w:footer="720" w:gutter="0"/>
          <w:cols w:space="720"/>
          <w:docGrid w:linePitch="360"/>
        </w:sectPr>
      </w:pPr>
    </w:p>
    <w:p w14:paraId="233BAF5C" w14:textId="77777777" w:rsidR="00D46E55" w:rsidRPr="00AC0422" w:rsidRDefault="00D46E55" w:rsidP="006705C7">
      <w:pPr>
        <w:pStyle w:val="Heading2"/>
        <w:rPr>
          <w:rFonts w:asciiTheme="minorHAnsi" w:hAnsiTheme="minorHAnsi" w:cstheme="minorHAnsi"/>
          <w:sz w:val="24"/>
        </w:rPr>
      </w:pPr>
    </w:p>
    <w:p w14:paraId="66CCA5EA" w14:textId="71313F0B" w:rsidR="00173FDC" w:rsidRPr="00AC0422" w:rsidRDefault="00173FDC" w:rsidP="00F0218B">
      <w:pPr>
        <w:pStyle w:val="Heading2"/>
        <w:rPr>
          <w:rFonts w:asciiTheme="minorHAnsi" w:hAnsiTheme="minorHAnsi" w:cstheme="minorHAnsi"/>
          <w:sz w:val="24"/>
        </w:rPr>
      </w:pPr>
      <w:r w:rsidRPr="00AC0422">
        <w:rPr>
          <w:rFonts w:asciiTheme="minorHAnsi" w:hAnsiTheme="minorHAnsi" w:cstheme="minorHAnsi"/>
          <w:sz w:val="24"/>
        </w:rPr>
        <w:t>Annex D: Terms of Reference for Project Board</w:t>
      </w:r>
      <w:r w:rsidR="00CF072F" w:rsidRPr="00AC0422">
        <w:rPr>
          <w:rFonts w:asciiTheme="minorHAnsi" w:hAnsiTheme="minorHAnsi" w:cstheme="minorHAnsi"/>
          <w:sz w:val="24"/>
        </w:rPr>
        <w:t>,</w:t>
      </w:r>
      <w:r w:rsidRPr="00AC0422">
        <w:rPr>
          <w:rFonts w:asciiTheme="minorHAnsi" w:hAnsiTheme="minorHAnsi" w:cstheme="minorHAnsi"/>
          <w:sz w:val="24"/>
        </w:rPr>
        <w:t xml:space="preserve"> Project Team</w:t>
      </w:r>
      <w:bookmarkEnd w:id="45"/>
      <w:r w:rsidR="00CF072F" w:rsidRPr="00AC0422">
        <w:rPr>
          <w:rFonts w:asciiTheme="minorHAnsi" w:hAnsiTheme="minorHAnsi" w:cstheme="minorHAnsi"/>
          <w:sz w:val="24"/>
        </w:rPr>
        <w:t xml:space="preserve"> and UNDP Staff</w:t>
      </w:r>
      <w:r w:rsidRPr="00AC0422">
        <w:rPr>
          <w:rFonts w:asciiTheme="minorHAnsi" w:hAnsiTheme="minorHAnsi" w:cstheme="minorHAnsi"/>
          <w:sz w:val="24"/>
        </w:rPr>
        <w:t xml:space="preserve"> </w:t>
      </w:r>
    </w:p>
    <w:p w14:paraId="5405F34C" w14:textId="77777777" w:rsidR="00173FDC" w:rsidRPr="00AC0422" w:rsidRDefault="00173FDC" w:rsidP="00173FDC">
      <w:pPr>
        <w:spacing w:after="0"/>
        <w:rPr>
          <w:rFonts w:asciiTheme="minorHAnsi" w:hAnsiTheme="minorHAnsi" w:cstheme="minorHAnsi"/>
          <w:b/>
          <w:i/>
          <w:iCs/>
          <w:noProof/>
          <w:szCs w:val="20"/>
          <w:lang w:eastAsia="zh-CN"/>
        </w:rPr>
      </w:pPr>
    </w:p>
    <w:p w14:paraId="03539D07" w14:textId="77777777" w:rsidR="00173FDC" w:rsidRPr="00AC0422" w:rsidRDefault="00173FDC" w:rsidP="00173FDC">
      <w:pPr>
        <w:spacing w:after="0"/>
        <w:rPr>
          <w:rFonts w:asciiTheme="minorHAnsi" w:hAnsiTheme="minorHAnsi" w:cstheme="minorHAnsi"/>
          <w:b/>
          <w:iCs/>
          <w:noProof/>
          <w:szCs w:val="20"/>
          <w:lang w:eastAsia="zh-CN"/>
        </w:rPr>
      </w:pPr>
      <w:r w:rsidRPr="00AC0422">
        <w:rPr>
          <w:rFonts w:asciiTheme="minorHAnsi" w:hAnsiTheme="minorHAnsi" w:cstheme="minorHAnsi"/>
          <w:b/>
          <w:iCs/>
          <w:noProof/>
          <w:szCs w:val="20"/>
          <w:highlight w:val="yellow"/>
          <w:lang w:eastAsia="zh-CN"/>
        </w:rPr>
        <w:t>Terms of Reference for Key Project Staff</w:t>
      </w:r>
      <w:r w:rsidRPr="00AC0422">
        <w:rPr>
          <w:rFonts w:asciiTheme="minorHAnsi" w:hAnsiTheme="minorHAnsi" w:cstheme="minorHAnsi"/>
          <w:b/>
          <w:iCs/>
          <w:noProof/>
          <w:szCs w:val="20"/>
          <w:lang w:eastAsia="zh-CN"/>
        </w:rPr>
        <w:t xml:space="preserve"> </w:t>
      </w:r>
    </w:p>
    <w:p w14:paraId="39BBD708" w14:textId="77777777" w:rsidR="00173FDC" w:rsidRPr="00AC0422" w:rsidRDefault="00173FDC" w:rsidP="00173FDC">
      <w:pPr>
        <w:spacing w:after="0"/>
        <w:rPr>
          <w:rFonts w:asciiTheme="minorHAnsi" w:hAnsiTheme="minorHAnsi" w:cstheme="minorHAnsi"/>
          <w:b/>
          <w:iCs/>
          <w:noProof/>
          <w:szCs w:val="20"/>
          <w:lang w:eastAsia="zh-CN"/>
        </w:rPr>
      </w:pPr>
      <w:bookmarkStart w:id="46" w:name="_Toc404634830"/>
    </w:p>
    <w:p w14:paraId="76351E4E" w14:textId="1864ADBD" w:rsidR="00173FDC" w:rsidRDefault="00173FDC" w:rsidP="00173FDC">
      <w:pPr>
        <w:spacing w:after="0"/>
        <w:rPr>
          <w:rFonts w:asciiTheme="minorHAnsi" w:hAnsiTheme="minorHAnsi" w:cstheme="minorHAnsi"/>
          <w:b/>
          <w:bCs/>
          <w:szCs w:val="20"/>
        </w:rPr>
      </w:pPr>
      <w:bookmarkStart w:id="47" w:name="_Toc404634831"/>
      <w:bookmarkEnd w:id="46"/>
      <w:r w:rsidRPr="00AC0422">
        <w:rPr>
          <w:rFonts w:asciiTheme="minorHAnsi" w:hAnsiTheme="minorHAnsi" w:cstheme="minorHAnsi"/>
          <w:b/>
          <w:iCs/>
          <w:noProof/>
          <w:szCs w:val="20"/>
          <w:lang w:eastAsia="zh-CN"/>
        </w:rPr>
        <w:t>Project Manager</w:t>
      </w:r>
      <w:bookmarkEnd w:id="47"/>
      <w:r w:rsidR="00FD7A4A" w:rsidRPr="00AC0422">
        <w:rPr>
          <w:rFonts w:asciiTheme="minorHAnsi" w:hAnsiTheme="minorHAnsi" w:cstheme="minorHAnsi"/>
          <w:b/>
          <w:bCs/>
          <w:szCs w:val="20"/>
        </w:rPr>
        <w:t xml:space="preserve"> </w:t>
      </w:r>
    </w:p>
    <w:p w14:paraId="458BC560" w14:textId="77777777" w:rsidR="0014522F" w:rsidRPr="00570F45" w:rsidRDefault="0014522F" w:rsidP="0014522F">
      <w:pPr>
        <w:rPr>
          <w:rFonts w:ascii="Seaford" w:hAnsi="Seaford" w:cstheme="minorHAnsi"/>
          <w:sz w:val="22"/>
          <w:szCs w:val="22"/>
        </w:rPr>
      </w:pPr>
    </w:p>
    <w:p w14:paraId="1E1FC6E6" w14:textId="6C7A4670" w:rsidR="0014522F" w:rsidRPr="00FA01A5" w:rsidRDefault="0014522F" w:rsidP="005D2C02">
      <w:pPr>
        <w:pStyle w:val="ListParagraph"/>
        <w:widowControl w:val="0"/>
        <w:numPr>
          <w:ilvl w:val="2"/>
          <w:numId w:val="34"/>
        </w:numPr>
        <w:overflowPunct w:val="0"/>
        <w:adjustRightInd w:val="0"/>
        <w:ind w:left="360"/>
        <w:jc w:val="both"/>
        <w:rPr>
          <w:rFonts w:asciiTheme="minorHAnsi" w:hAnsiTheme="minorHAnsi" w:cstheme="minorHAnsi"/>
          <w:b/>
          <w:sz w:val="20"/>
          <w:szCs w:val="20"/>
        </w:rPr>
      </w:pPr>
      <w:r w:rsidRPr="00FA01A5">
        <w:rPr>
          <w:rFonts w:asciiTheme="minorHAnsi" w:hAnsiTheme="minorHAnsi" w:cstheme="minorHAnsi"/>
          <w:b/>
          <w:sz w:val="20"/>
          <w:szCs w:val="20"/>
        </w:rPr>
        <w:t>Project Background and Description</w:t>
      </w:r>
    </w:p>
    <w:p w14:paraId="3C172DF7" w14:textId="77777777" w:rsidR="0014522F" w:rsidRPr="00FA01A5" w:rsidRDefault="0014522F" w:rsidP="0014522F">
      <w:pPr>
        <w:rPr>
          <w:rFonts w:asciiTheme="minorHAnsi" w:eastAsia="MS Mincho" w:hAnsiTheme="minorHAnsi" w:cstheme="minorHAnsi"/>
          <w:bCs/>
          <w:color w:val="000000" w:themeColor="text1"/>
          <w:szCs w:val="20"/>
        </w:rPr>
      </w:pPr>
      <w:r w:rsidRPr="00FA01A5">
        <w:rPr>
          <w:rFonts w:asciiTheme="minorHAnsi" w:eastAsia="MS Mincho" w:hAnsiTheme="minorHAnsi" w:cstheme="minorHAnsi"/>
          <w:bCs/>
          <w:color w:val="000000" w:themeColor="text1"/>
          <w:szCs w:val="20"/>
        </w:rPr>
        <w:t xml:space="preserve">Under the direct supervision and overall guidance of the Climate Change, Energy, and Environment Team Leader (CCEE-TL), the </w:t>
      </w:r>
      <w:r w:rsidRPr="00FA01A5">
        <w:rPr>
          <w:rFonts w:asciiTheme="minorHAnsi" w:hAnsiTheme="minorHAnsi" w:cstheme="minorHAnsi"/>
          <w:bCs/>
          <w:szCs w:val="20"/>
        </w:rPr>
        <w:t>PM</w:t>
      </w:r>
      <w:r w:rsidRPr="00FA01A5">
        <w:rPr>
          <w:rFonts w:asciiTheme="minorHAnsi" w:eastAsia="MS Mincho" w:hAnsiTheme="minorHAnsi" w:cstheme="minorHAnsi"/>
          <w:bCs/>
          <w:color w:val="000000" w:themeColor="text1"/>
          <w:szCs w:val="20"/>
        </w:rPr>
        <w:t xml:space="preserve"> is responsible for administrative, financial, and overall project management, implementation, and regular monitoring of project results and risks, ensuring that the project is efficiently managed to fulfil its mission and objectives, and in accordance with the UNDP standards and best practices. The </w:t>
      </w:r>
      <w:r w:rsidRPr="00FA01A5">
        <w:rPr>
          <w:rFonts w:asciiTheme="minorHAnsi" w:hAnsiTheme="minorHAnsi" w:cstheme="minorHAnsi"/>
          <w:bCs/>
          <w:szCs w:val="20"/>
        </w:rPr>
        <w:t>PM</w:t>
      </w:r>
      <w:r w:rsidRPr="00FA01A5">
        <w:rPr>
          <w:rFonts w:asciiTheme="minorHAnsi" w:eastAsia="MS Mincho" w:hAnsiTheme="minorHAnsi" w:cstheme="minorHAnsi"/>
          <w:bCs/>
          <w:color w:val="000000" w:themeColor="text1"/>
          <w:szCs w:val="20"/>
        </w:rPr>
        <w:t xml:space="preserve"> works in close collaboration with UNDP </w:t>
      </w:r>
      <w:proofErr w:type="spellStart"/>
      <w:r w:rsidRPr="00FA01A5">
        <w:rPr>
          <w:rFonts w:asciiTheme="minorHAnsi" w:eastAsia="MS Mincho" w:hAnsiTheme="minorHAnsi" w:cstheme="minorHAnsi"/>
          <w:bCs/>
          <w:color w:val="000000" w:themeColor="text1"/>
          <w:szCs w:val="20"/>
        </w:rPr>
        <w:t>programme</w:t>
      </w:r>
      <w:proofErr w:type="spellEnd"/>
      <w:r w:rsidRPr="00FA01A5">
        <w:rPr>
          <w:rFonts w:asciiTheme="minorHAnsi" w:eastAsia="MS Mincho" w:hAnsiTheme="minorHAnsi" w:cstheme="minorHAnsi"/>
          <w:bCs/>
          <w:color w:val="000000" w:themeColor="text1"/>
          <w:szCs w:val="20"/>
        </w:rPr>
        <w:t xml:space="preserve"> and operations team, the UNFCCC Focal Point, Climate Change Unit, technical advisors and experts, ensuring successful project implementation.</w:t>
      </w:r>
    </w:p>
    <w:p w14:paraId="604B2290" w14:textId="77777777" w:rsidR="0014522F" w:rsidRPr="00FA01A5" w:rsidRDefault="0014522F" w:rsidP="0014522F">
      <w:pPr>
        <w:rPr>
          <w:rFonts w:asciiTheme="minorHAnsi" w:hAnsiTheme="minorHAnsi" w:cstheme="minorHAnsi"/>
          <w:szCs w:val="20"/>
        </w:rPr>
      </w:pPr>
    </w:p>
    <w:p w14:paraId="3D79D33E" w14:textId="4CF81C2E" w:rsidR="0014522F" w:rsidRDefault="00615E42" w:rsidP="00805042">
      <w:pPr>
        <w:widowControl w:val="0"/>
        <w:overflowPunct w:val="0"/>
        <w:adjustRightInd w:val="0"/>
        <w:rPr>
          <w:rFonts w:asciiTheme="minorHAnsi" w:hAnsiTheme="minorHAnsi" w:cstheme="minorHAnsi"/>
          <w:b/>
          <w:szCs w:val="20"/>
        </w:rPr>
      </w:pPr>
      <w:r>
        <w:rPr>
          <w:rFonts w:asciiTheme="minorHAnsi" w:hAnsiTheme="minorHAnsi" w:cstheme="minorHAnsi"/>
          <w:b/>
          <w:szCs w:val="20"/>
        </w:rPr>
        <w:t>Tasks and responsibilities:</w:t>
      </w:r>
    </w:p>
    <w:p w14:paraId="1DAFFF36"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Developing a comprehensive/detailed project work-plan and annual workplans, including roles and responsibilities of the stakeholders and milestones.</w:t>
      </w:r>
    </w:p>
    <w:p w14:paraId="03DE89BF"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Managing day-to-day implementation and management of the project by maintaining the delivery of appropriate technical, operational, financial, and administrative outputs, and tracking the progress of the project by monitoring and reporting.</w:t>
      </w:r>
    </w:p>
    <w:p w14:paraId="0B5710AC"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Ensuring adherence of the project work plan to the project document, prepare revisions if required.</w:t>
      </w:r>
    </w:p>
    <w:p w14:paraId="26275760"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 xml:space="preserve">Managing and coordinating the implementation of the project activities, including supervision and guidance of other project staff, consultants, and experts with a view to achieving project results.  </w:t>
      </w:r>
    </w:p>
    <w:p w14:paraId="4E4FBCE4"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Developing Terms of reference (</w:t>
      </w:r>
      <w:proofErr w:type="spellStart"/>
      <w:r w:rsidRPr="00FA01A5">
        <w:rPr>
          <w:rFonts w:asciiTheme="minorHAnsi" w:eastAsia="MS Mincho" w:hAnsiTheme="minorHAnsi" w:cstheme="minorHAnsi"/>
          <w:color w:val="000000"/>
          <w:sz w:val="20"/>
          <w:szCs w:val="20"/>
        </w:rPr>
        <w:t>ToRs</w:t>
      </w:r>
      <w:proofErr w:type="spellEnd"/>
      <w:r w:rsidRPr="00FA01A5">
        <w:rPr>
          <w:rFonts w:asciiTheme="minorHAnsi" w:eastAsia="MS Mincho" w:hAnsiTheme="minorHAnsi" w:cstheme="minorHAnsi"/>
          <w:color w:val="000000"/>
          <w:sz w:val="20"/>
          <w:szCs w:val="20"/>
        </w:rPr>
        <w:t xml:space="preserve">) for consultants and ensuring timely recruitment and procurement of quality services and implementation of project activities in line with UNDP rules. </w:t>
      </w:r>
    </w:p>
    <w:p w14:paraId="640E4773"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Managing the human and financial resources for achieving results in line with the outputs and activities outlined in the project document and annual work plan.</w:t>
      </w:r>
    </w:p>
    <w:p w14:paraId="12D7F1B4"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 xml:space="preserve">Maintaining collaborative working relationships among key project partners and stakeholders through effective communication, consultation and reporting  </w:t>
      </w:r>
    </w:p>
    <w:p w14:paraId="01604197"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 xml:space="preserve">Managing and monitoring project risks initially identified, submitting information on the new risks and possible mitigating measures to the Project Steering Committee for consideration and updating the status of these risks by maintaining a Project Risk Log. </w:t>
      </w:r>
    </w:p>
    <w:p w14:paraId="64C0DDFF"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Providing technical support in developing the national level MEL Framework for the NAP process.</w:t>
      </w:r>
    </w:p>
    <w:p w14:paraId="56117CEB" w14:textId="77777777" w:rsidR="00615E42"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Performing tasks in Quantum in line with the given function.</w:t>
      </w:r>
    </w:p>
    <w:p w14:paraId="25AEC26D"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MS Mincho" w:hAnsiTheme="minorHAnsi" w:cstheme="minorHAnsi"/>
          <w:color w:val="000000"/>
          <w:sz w:val="20"/>
          <w:szCs w:val="20"/>
        </w:rPr>
        <w:t>Ensuring that the project produces the outputs specified in the project document, to the required standard of quality and within the specified constraints of time and cost.</w:t>
      </w:r>
    </w:p>
    <w:p w14:paraId="3C65A70A"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 xml:space="preserve">Ensuring effective project management by maintaining the delivery of appropriate technical, operational, financial and administrative outputs. </w:t>
      </w:r>
    </w:p>
    <w:p w14:paraId="22C60380"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Overseeing and monitoring implementation of work plans and budgets for all project activities.</w:t>
      </w:r>
    </w:p>
    <w:p w14:paraId="21810950"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Monitoring the project expenditures, commitments, and balance of funds under the project budget lines, and draft project budget revisions in accordance with UNDP’s QUANTUM system including the reporting on project funds and related record keeping.</w:t>
      </w:r>
    </w:p>
    <w:p w14:paraId="6E4F044C"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Monitoring project expenditure, commitments and balance of funds under the project budget lines for cost-efficiency and consistency with the Project Document and corresponding Annual Work Plan.</w:t>
      </w:r>
    </w:p>
    <w:p w14:paraId="6864C753"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Managing delivery of results by using up-to-date best practices and know-how in the subject area and accordingly plan delivery of resources for the performance year.</w:t>
      </w:r>
    </w:p>
    <w:p w14:paraId="7D3FB4C2"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lastRenderedPageBreak/>
        <w:t xml:space="preserve">Ensuring timely preparation of regular, quarterly, biannual, and annual reports required by GCF and other stakeholders, and that monitoring, and evaluation of the project is conducted in accordance with donor requirements and UNDP rules and procedures. </w:t>
      </w:r>
    </w:p>
    <w:p w14:paraId="10066F1D"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Performing regular progress reporting to the project board as agreed with the board, including measures to address challenges and opportunities.</w:t>
      </w:r>
    </w:p>
    <w:p w14:paraId="61E17018"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MS Mincho" w:hAnsiTheme="minorHAnsi" w:cstheme="minorHAnsi"/>
          <w:color w:val="000000"/>
          <w:sz w:val="20"/>
          <w:szCs w:val="20"/>
        </w:rPr>
      </w:pPr>
      <w:r w:rsidRPr="00FA01A5">
        <w:rPr>
          <w:rFonts w:asciiTheme="minorHAnsi" w:eastAsia="MS Mincho" w:hAnsiTheme="minorHAnsi" w:cstheme="minorHAnsi"/>
          <w:color w:val="000000"/>
          <w:sz w:val="20"/>
          <w:szCs w:val="20"/>
        </w:rPr>
        <w:t>Preparing the final project report and processing all other requirements for the project auditing and closure as per UNDP standard procedures.</w:t>
      </w:r>
    </w:p>
    <w:p w14:paraId="20962A47"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Ensuring that the standard UNDP and Green Climate Fund (GCF) Monitoring and Evaluation (M&amp;E) requirements are fulfilled to the highest quality.</w:t>
      </w:r>
    </w:p>
    <w:p w14:paraId="3BE0AC4D"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Reviewing professional performance and document implementation processes and results through project-based professional reports.</w:t>
      </w:r>
    </w:p>
    <w:p w14:paraId="353EDCE4"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Managing and monitoring requests for financial resources and ensuring accuracy and reliability of financial reports.</w:t>
      </w:r>
    </w:p>
    <w:p w14:paraId="47ACE547"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 xml:space="preserve">Liaising with the contracted consultants and other UNDP project staff on financial management of the project activities, including monitoring project financial expenditure and transactions. </w:t>
      </w:r>
    </w:p>
    <w:p w14:paraId="422B7507"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Ensuring creation of strategic partnership and supporting implementation of the resource mobilization strategy.</w:t>
      </w:r>
    </w:p>
    <w:p w14:paraId="18356330"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Contributing to policy briefs, strategic notes, discussion papers on emerging climate change adaptation related issues, for consideration by the Government and other stakeholders.</w:t>
      </w:r>
    </w:p>
    <w:p w14:paraId="532AF384"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Reviewing and contributing to all outputs and deliverables produced under the project.</w:t>
      </w:r>
    </w:p>
    <w:p w14:paraId="31CCE8F1"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 xml:space="preserve">Identifying, collecting, and analyzing policy-related, relevant information and data. </w:t>
      </w:r>
    </w:p>
    <w:p w14:paraId="1D114529"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 xml:space="preserve">Assisting in engaging the government in constructive dialogue on the achievement of project outcomes.  </w:t>
      </w:r>
    </w:p>
    <w:p w14:paraId="3A97070B"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Maintaining continuous dialogue and coordination with national partners regarding the implementation of projects activities.</w:t>
      </w:r>
    </w:p>
    <w:p w14:paraId="4EF5FFF8"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 xml:space="preserve">Contributing to visibility of project results to relevant national and international stakeholders and audiences. </w:t>
      </w:r>
    </w:p>
    <w:p w14:paraId="4E69B82A"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 xml:space="preserve">Coordinating, systemizing, codifying, and integrating successful approaches, methodologies and tools developed in the relevant area, into a cohesive UNDP framework for supporting governments efforts in different aspects of climate change. </w:t>
      </w:r>
    </w:p>
    <w:p w14:paraId="48CB12C0"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Supporting establishing effective linkages with other UNDP projects and with other initiatives in the sector with a view to developing substantive partnerships and generating synergies.</w:t>
      </w:r>
    </w:p>
    <w:p w14:paraId="319B3461"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Analyzing and aggregating project results/outputs, and reporting of project progress at the objective and outcome level.</w:t>
      </w:r>
    </w:p>
    <w:p w14:paraId="2A3544E8"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Engaging in a constructive dialogue with official counterparts, partners, and other stakeholders, especially to maximize consistency and synergy between the various support components, as informed by the priorities of the Climate Change Energy and Environment Unit.</w:t>
      </w:r>
    </w:p>
    <w:p w14:paraId="77CAFCA8"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Contributing written inputs to UNDP flagship products/newsletter/policy briefs, based on project results, data and information, lessons learned and best practices.</w:t>
      </w:r>
    </w:p>
    <w:p w14:paraId="414B9F29"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Formulating a framework for data sharing among stakeholders, for project implementation.</w:t>
      </w:r>
    </w:p>
    <w:p w14:paraId="0D25B18D"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Supporting the government with analysis and substantive research into national adaptation planning, and other major national and local development issues.</w:t>
      </w:r>
    </w:p>
    <w:p w14:paraId="7A1936E6"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Sharing international best practices on implementation of climate change adaptation policies and practices through participatory processes and techniques involving civil society, women and minority groups.</w:t>
      </w:r>
    </w:p>
    <w:p w14:paraId="345C1D1A" w14:textId="77777777" w:rsidR="00615E42" w:rsidRPr="00FA01A5"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Ensuring systemic capturing of key lessons learned generated by the project through feasibility studies, research, surveys as well as other primary and secondary sources to produce knowledge-based products.</w:t>
      </w:r>
    </w:p>
    <w:p w14:paraId="73DD6701" w14:textId="18A85018" w:rsidR="00615E42" w:rsidRPr="00282B2C" w:rsidRDefault="00615E42" w:rsidP="00615E42">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FA01A5">
        <w:rPr>
          <w:rFonts w:asciiTheme="minorHAnsi" w:eastAsiaTheme="minorEastAsia" w:hAnsiTheme="minorHAnsi" w:cstheme="minorHAnsi"/>
          <w:kern w:val="28"/>
          <w:sz w:val="20"/>
          <w:szCs w:val="20"/>
        </w:rPr>
        <w:t>Participating in knowledge networks and other fora to draw on best practice and lessons learned in other similar contexts to apply to Yemen.</w:t>
      </w:r>
    </w:p>
    <w:p w14:paraId="1D25A6CA" w14:textId="51B38452" w:rsidR="0014522F" w:rsidRDefault="0014522F" w:rsidP="0014522F">
      <w:pPr>
        <w:widowControl w:val="0"/>
        <w:overflowPunct w:val="0"/>
        <w:adjustRightInd w:val="0"/>
        <w:rPr>
          <w:rFonts w:asciiTheme="minorHAnsi" w:hAnsiTheme="minorHAnsi" w:cstheme="minorHAnsi"/>
          <w:szCs w:val="20"/>
          <w:lang w:eastAsia="en-GB"/>
        </w:rPr>
      </w:pPr>
    </w:p>
    <w:p w14:paraId="578F4067" w14:textId="77777777" w:rsidR="00BC6447" w:rsidRDefault="00615E42" w:rsidP="00615E42">
      <w:pPr>
        <w:spacing w:after="0"/>
        <w:rPr>
          <w:rFonts w:asciiTheme="minorHAnsi" w:hAnsiTheme="minorHAnsi" w:cstheme="minorHAnsi"/>
          <w:noProof/>
          <w:szCs w:val="20"/>
          <w:u w:val="single"/>
          <w:lang w:eastAsia="zh-CN"/>
        </w:rPr>
      </w:pPr>
      <w:r w:rsidRPr="00AC0422">
        <w:rPr>
          <w:rFonts w:asciiTheme="minorHAnsi" w:hAnsiTheme="minorHAnsi" w:cstheme="minorHAnsi"/>
          <w:noProof/>
          <w:szCs w:val="20"/>
          <w:u w:val="single"/>
          <w:lang w:eastAsia="zh-CN"/>
        </w:rPr>
        <w:t>Required skills and expertise</w:t>
      </w:r>
      <w:r w:rsidR="00BC6447">
        <w:rPr>
          <w:rFonts w:asciiTheme="minorHAnsi" w:hAnsiTheme="minorHAnsi" w:cstheme="minorHAnsi"/>
          <w:noProof/>
          <w:szCs w:val="20"/>
          <w:u w:val="single"/>
          <w:lang w:eastAsia="zh-CN"/>
        </w:rPr>
        <w:t>:</w:t>
      </w:r>
    </w:p>
    <w:p w14:paraId="7FE95273" w14:textId="507C2716" w:rsidR="00BC6447" w:rsidRPr="00282B2C" w:rsidRDefault="00BC6447"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t xml:space="preserve">Advanced University Degree (master's degree or equivalent) or bachelor’s degree in environmental science, Natural Resource Management, Environmental Economics, or other related fields. </w:t>
      </w:r>
    </w:p>
    <w:p w14:paraId="7BE7DFAF" w14:textId="01E28664" w:rsidR="00615E42" w:rsidRPr="00282B2C" w:rsidRDefault="00BC6447"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lastRenderedPageBreak/>
        <w:t xml:space="preserve">Master’s Level Degree with (2) years’ experience or Bachelor with at least 4 years of relevant professional work in experience on issues related to climate change, natural resources management, environment and community development. </w:t>
      </w:r>
      <w:r w:rsidR="00615E42" w:rsidRPr="00282B2C">
        <w:rPr>
          <w:rFonts w:asciiTheme="minorHAnsi" w:eastAsiaTheme="minorEastAsia" w:hAnsiTheme="minorHAnsi" w:cstheme="minorHAnsi"/>
          <w:kern w:val="28"/>
          <w:sz w:val="20"/>
          <w:szCs w:val="20"/>
        </w:rPr>
        <w:t xml:space="preserve"> </w:t>
      </w:r>
    </w:p>
    <w:p w14:paraId="26162B27" w14:textId="1B9A262C" w:rsidR="00BC6447" w:rsidRPr="00282B2C" w:rsidRDefault="004D2873"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t>At least</w:t>
      </w:r>
      <w:r w:rsidRPr="00282B2C">
        <w:rPr>
          <w:rFonts w:asciiTheme="minorHAnsi" w:hAnsiTheme="minorHAnsi" w:cstheme="minorHAnsi"/>
          <w:noProof/>
          <w:sz w:val="20"/>
          <w:szCs w:val="20"/>
          <w:u w:val="single"/>
          <w:lang w:eastAsia="zh-CN"/>
        </w:rPr>
        <w:t xml:space="preserve"> </w:t>
      </w:r>
      <w:r w:rsidR="00A127ED" w:rsidRPr="00282B2C">
        <w:rPr>
          <w:rFonts w:asciiTheme="minorHAnsi" w:hAnsiTheme="minorHAnsi" w:cstheme="minorHAnsi"/>
          <w:noProof/>
          <w:sz w:val="20"/>
          <w:szCs w:val="20"/>
          <w:u w:val="single"/>
          <w:lang w:eastAsia="zh-CN"/>
        </w:rPr>
        <w:t xml:space="preserve">5 </w:t>
      </w:r>
      <w:r w:rsidR="00A127ED" w:rsidRPr="00282B2C">
        <w:rPr>
          <w:rFonts w:asciiTheme="minorHAnsi" w:eastAsiaTheme="minorEastAsia" w:hAnsiTheme="minorHAnsi" w:cstheme="minorHAnsi"/>
          <w:kern w:val="28"/>
          <w:sz w:val="20"/>
          <w:szCs w:val="20"/>
        </w:rPr>
        <w:t>years of p</w:t>
      </w:r>
      <w:r w:rsidR="00BC6447" w:rsidRPr="00282B2C">
        <w:rPr>
          <w:rFonts w:asciiTheme="minorHAnsi" w:eastAsiaTheme="minorEastAsia" w:hAnsiTheme="minorHAnsi" w:cstheme="minorHAnsi"/>
          <w:kern w:val="28"/>
          <w:sz w:val="20"/>
          <w:szCs w:val="20"/>
        </w:rPr>
        <w:t xml:space="preserve">roject management experience in </w:t>
      </w:r>
      <w:r w:rsidR="00282B2C">
        <w:rPr>
          <w:rFonts w:asciiTheme="minorHAnsi" w:eastAsiaTheme="minorEastAsia" w:hAnsiTheme="minorHAnsi" w:cstheme="minorHAnsi"/>
          <w:kern w:val="28"/>
          <w:sz w:val="20"/>
          <w:szCs w:val="20"/>
        </w:rPr>
        <w:t xml:space="preserve">VF/or </w:t>
      </w:r>
      <w:r w:rsidR="00BC6447" w:rsidRPr="00282B2C">
        <w:rPr>
          <w:rFonts w:asciiTheme="minorHAnsi" w:eastAsiaTheme="minorEastAsia" w:hAnsiTheme="minorHAnsi" w:cstheme="minorHAnsi"/>
          <w:kern w:val="28"/>
          <w:sz w:val="20"/>
          <w:szCs w:val="20"/>
        </w:rPr>
        <w:t>GCF funded projects.</w:t>
      </w:r>
    </w:p>
    <w:p w14:paraId="3B824851" w14:textId="38010267" w:rsidR="00BC6447" w:rsidRPr="00282B2C" w:rsidRDefault="00A127ED"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t>At least 5 years of p</w:t>
      </w:r>
      <w:r w:rsidR="00BC6447" w:rsidRPr="00282B2C">
        <w:rPr>
          <w:rFonts w:asciiTheme="minorHAnsi" w:eastAsiaTheme="minorEastAsia" w:hAnsiTheme="minorHAnsi" w:cstheme="minorHAnsi"/>
          <w:kern w:val="28"/>
          <w:sz w:val="20"/>
          <w:szCs w:val="20"/>
        </w:rPr>
        <w:t xml:space="preserve">roven experience </w:t>
      </w:r>
      <w:r w:rsidR="00C73B13" w:rsidRPr="00282B2C">
        <w:rPr>
          <w:rFonts w:asciiTheme="minorHAnsi" w:eastAsiaTheme="minorEastAsia" w:hAnsiTheme="minorHAnsi" w:cstheme="minorHAnsi"/>
          <w:kern w:val="28"/>
          <w:sz w:val="20"/>
          <w:szCs w:val="20"/>
        </w:rPr>
        <w:t xml:space="preserve">working with ministries, national or provincial institutions </w:t>
      </w:r>
      <w:r w:rsidR="00BC6447" w:rsidRPr="00282B2C">
        <w:rPr>
          <w:rFonts w:asciiTheme="minorHAnsi" w:eastAsiaTheme="minorEastAsia" w:hAnsiTheme="minorHAnsi" w:cstheme="minorHAnsi"/>
          <w:kern w:val="28"/>
          <w:sz w:val="20"/>
          <w:szCs w:val="20"/>
        </w:rPr>
        <w:t>and knowledge of the country’s institutional framework and policies related to climate change and natural resource management are desirable.</w:t>
      </w:r>
    </w:p>
    <w:p w14:paraId="101D1A67" w14:textId="4B716A01" w:rsidR="00BC6447" w:rsidRPr="00282B2C" w:rsidRDefault="00BC6447"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t>Working/Consulting experience related to the area of climate change, national commitments under various International Conventions, water resources management, ecosystem restoration and biodiversity conservation is an advantage.</w:t>
      </w:r>
      <w:r w:rsidR="00C73B13" w:rsidRPr="00282B2C">
        <w:rPr>
          <w:rFonts w:asciiTheme="minorHAnsi" w:eastAsiaTheme="minorEastAsia" w:hAnsiTheme="minorHAnsi" w:cstheme="minorHAnsi"/>
          <w:kern w:val="28"/>
          <w:sz w:val="20"/>
          <w:szCs w:val="20"/>
        </w:rPr>
        <w:t xml:space="preserve"> </w:t>
      </w:r>
    </w:p>
    <w:p w14:paraId="478AA621" w14:textId="77777777" w:rsidR="00BC6447" w:rsidRPr="00282B2C" w:rsidRDefault="00BC6447"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t>Experience in working and coordinating with multi stakeholders including the government, NGOs, consultants, private sector, and CSOs is an advantage.</w:t>
      </w:r>
    </w:p>
    <w:p w14:paraId="2D14091F" w14:textId="77777777" w:rsidR="00BC6447" w:rsidRPr="00282B2C" w:rsidRDefault="00BC6447"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t>Strong planning and organizational skills; ability to handle planning and budgeting or multiple concurrent projects/activities are desirable.</w:t>
      </w:r>
    </w:p>
    <w:p w14:paraId="4A5EBF8A" w14:textId="77777777" w:rsidR="00C73B13" w:rsidRPr="00282B2C" w:rsidRDefault="00BC6447"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 w:val="20"/>
          <w:szCs w:val="20"/>
        </w:rPr>
      </w:pPr>
      <w:r w:rsidRPr="00282B2C">
        <w:rPr>
          <w:rFonts w:asciiTheme="minorHAnsi" w:eastAsiaTheme="minorEastAsia" w:hAnsiTheme="minorHAnsi" w:cstheme="minorHAnsi"/>
          <w:kern w:val="28"/>
          <w:sz w:val="20"/>
          <w:szCs w:val="20"/>
        </w:rPr>
        <w:t xml:space="preserve">Knowledge of relevant UNFCCC, COP-decisions, and national commitments will be an advantage. </w:t>
      </w:r>
    </w:p>
    <w:p w14:paraId="12EA5334" w14:textId="621E959E" w:rsidR="00BC6447" w:rsidRPr="00282B2C" w:rsidRDefault="00BC6447" w:rsidP="00282B2C">
      <w:pPr>
        <w:pStyle w:val="NormalWeb"/>
        <w:numPr>
          <w:ilvl w:val="0"/>
          <w:numId w:val="77"/>
        </w:numPr>
        <w:spacing w:before="0" w:beforeAutospacing="0" w:after="0" w:afterAutospacing="0"/>
        <w:ind w:left="427" w:hanging="221"/>
        <w:jc w:val="lowKashida"/>
        <w:rPr>
          <w:rFonts w:asciiTheme="minorHAnsi" w:hAnsiTheme="minorHAnsi" w:cstheme="minorHAnsi"/>
          <w:noProof/>
          <w:szCs w:val="20"/>
          <w:u w:val="single"/>
          <w:lang w:eastAsia="zh-CN"/>
        </w:rPr>
      </w:pPr>
      <w:r w:rsidRPr="00282B2C">
        <w:rPr>
          <w:rFonts w:asciiTheme="minorHAnsi" w:eastAsiaTheme="minorEastAsia" w:hAnsiTheme="minorHAnsi" w:cstheme="minorHAnsi"/>
          <w:kern w:val="28"/>
          <w:sz w:val="20"/>
          <w:szCs w:val="20"/>
        </w:rPr>
        <w:t>Sou</w:t>
      </w:r>
      <w:r w:rsidRPr="00282B2C">
        <w:rPr>
          <w:rFonts w:asciiTheme="minorHAnsi" w:hAnsiTheme="minorHAnsi" w:cstheme="minorHAnsi"/>
          <w:noProof/>
          <w:sz w:val="20"/>
          <w:szCs w:val="20"/>
          <w:u w:val="single"/>
          <w:lang w:eastAsia="zh-CN"/>
        </w:rPr>
        <w:t>nd understanding of developmental strategies - particularly focusing on community empowerment and participation.</w:t>
      </w:r>
    </w:p>
    <w:p w14:paraId="0DCDD0C5" w14:textId="77777777" w:rsidR="00BC6447" w:rsidRPr="00AC0422" w:rsidRDefault="00BC6447" w:rsidP="00615E42">
      <w:pPr>
        <w:spacing w:after="0"/>
        <w:rPr>
          <w:rFonts w:asciiTheme="minorHAnsi" w:hAnsiTheme="minorHAnsi" w:cstheme="minorHAnsi"/>
          <w:noProof/>
          <w:szCs w:val="20"/>
          <w:u w:val="single"/>
          <w:lang w:eastAsia="zh-CN"/>
        </w:rPr>
      </w:pPr>
    </w:p>
    <w:p w14:paraId="1CBA8F80" w14:textId="77777777" w:rsidR="00615E42" w:rsidRPr="00AC0422" w:rsidRDefault="00615E42" w:rsidP="00615E42">
      <w:pPr>
        <w:spacing w:after="0"/>
        <w:rPr>
          <w:rFonts w:asciiTheme="minorHAnsi" w:hAnsiTheme="minorHAnsi" w:cstheme="minorHAnsi"/>
          <w:noProof/>
          <w:szCs w:val="20"/>
          <w:u w:val="single"/>
          <w:lang w:eastAsia="zh-CN"/>
        </w:rPr>
      </w:pPr>
      <w:r w:rsidRPr="00AC0422">
        <w:rPr>
          <w:rFonts w:asciiTheme="minorHAnsi" w:hAnsiTheme="minorHAnsi" w:cstheme="minorHAnsi"/>
          <w:noProof/>
          <w:szCs w:val="20"/>
          <w:u w:val="single"/>
          <w:lang w:eastAsia="zh-CN"/>
        </w:rPr>
        <w:t>Competencies</w:t>
      </w:r>
    </w:p>
    <w:p w14:paraId="3C1FDAF8" w14:textId="77777777"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Strong leadership, managerial and coordination skills, with a demonstrated ability to effectively coordinate the implementation of large multi-stakeholder projects, including financial and technical aspects.</w:t>
      </w:r>
    </w:p>
    <w:p w14:paraId="2D204226" w14:textId="77777777"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Ability to effectively manage technical and administrative teams, work with a wide range of stakeholders across various sectors and at all levels, to develop durable partnerships with collaborating agencies.</w:t>
      </w:r>
    </w:p>
    <w:p w14:paraId="49966E6A" w14:textId="77777777"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Ability to administer budgets, train and work effectively with counterpart staff at all levels and with all groups involved in the project.</w:t>
      </w:r>
    </w:p>
    <w:p w14:paraId="2B16C4B5" w14:textId="77777777"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Ability to coordinate and supervise multiple Project Implementation Units in their implementation of technical activities in partnership with a variety of subnational stakeholder groups, including community and government.</w:t>
      </w:r>
    </w:p>
    <w:p w14:paraId="23851252" w14:textId="77777777"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Strong drafting, presentation and reporting skills.</w:t>
      </w:r>
    </w:p>
    <w:p w14:paraId="431CA0F7" w14:textId="77777777"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Strong communication skills, especially in timely and accurate responses to emails.</w:t>
      </w:r>
    </w:p>
    <w:p w14:paraId="3C580104" w14:textId="77777777"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Strong computer skills, in particular mastery of all applications of the MS Office package and internet search.</w:t>
      </w:r>
    </w:p>
    <w:p w14:paraId="172BD5C4" w14:textId="1DE4676A" w:rsidR="00615E42" w:rsidRPr="00282B2C" w:rsidRDefault="00615E42" w:rsidP="00282B2C">
      <w:pPr>
        <w:pStyle w:val="NormalWeb"/>
        <w:numPr>
          <w:ilvl w:val="0"/>
          <w:numId w:val="77"/>
        </w:numPr>
        <w:spacing w:before="0" w:beforeAutospacing="0" w:after="0" w:afterAutospacing="0"/>
        <w:ind w:left="427" w:hanging="221"/>
        <w:jc w:val="lowKashida"/>
        <w:rPr>
          <w:rFonts w:asciiTheme="minorHAnsi" w:eastAsiaTheme="minorEastAsia" w:hAnsiTheme="minorHAnsi" w:cstheme="minorHAnsi"/>
          <w:kern w:val="28"/>
          <w:szCs w:val="20"/>
        </w:rPr>
      </w:pPr>
      <w:r w:rsidRPr="00282B2C">
        <w:rPr>
          <w:rFonts w:asciiTheme="minorHAnsi" w:eastAsiaTheme="minorEastAsia" w:hAnsiTheme="minorHAnsi" w:cstheme="minorHAnsi"/>
          <w:kern w:val="28"/>
          <w:sz w:val="20"/>
          <w:szCs w:val="20"/>
        </w:rPr>
        <w:t xml:space="preserve">Strong knowledge about the political and socio-economic context related to the </w:t>
      </w:r>
      <w:r w:rsidR="004511AE" w:rsidRPr="00282B2C">
        <w:rPr>
          <w:rFonts w:asciiTheme="minorHAnsi" w:eastAsiaTheme="minorEastAsia" w:hAnsiTheme="minorHAnsi" w:cstheme="minorHAnsi"/>
          <w:kern w:val="28"/>
          <w:sz w:val="20"/>
          <w:szCs w:val="20"/>
        </w:rPr>
        <w:t xml:space="preserve">Yemen </w:t>
      </w:r>
      <w:r w:rsidRPr="00282B2C">
        <w:rPr>
          <w:rFonts w:asciiTheme="minorHAnsi" w:eastAsiaTheme="minorEastAsia" w:hAnsiTheme="minorHAnsi" w:cstheme="minorHAnsi"/>
          <w:kern w:val="28"/>
          <w:sz w:val="20"/>
          <w:szCs w:val="20"/>
        </w:rPr>
        <w:t>climate change at national and subnational levels.</w:t>
      </w:r>
    </w:p>
    <w:p w14:paraId="07B4757B" w14:textId="16E725E1" w:rsidR="00615E42" w:rsidRPr="004511AE" w:rsidRDefault="00615E42" w:rsidP="00282B2C">
      <w:pPr>
        <w:pStyle w:val="NormalWeb"/>
        <w:numPr>
          <w:ilvl w:val="0"/>
          <w:numId w:val="77"/>
        </w:numPr>
        <w:spacing w:before="0" w:beforeAutospacing="0" w:after="0" w:afterAutospacing="0"/>
        <w:ind w:left="427" w:hanging="221"/>
        <w:jc w:val="lowKashida"/>
        <w:rPr>
          <w:rFonts w:asciiTheme="minorHAnsi" w:hAnsiTheme="minorHAnsi" w:cstheme="minorHAnsi"/>
          <w:noProof/>
          <w:szCs w:val="20"/>
          <w:lang w:eastAsia="zh-CN"/>
        </w:rPr>
      </w:pPr>
      <w:r w:rsidRPr="00282B2C">
        <w:rPr>
          <w:rFonts w:asciiTheme="minorHAnsi" w:eastAsiaTheme="minorEastAsia" w:hAnsiTheme="minorHAnsi" w:cstheme="minorHAnsi"/>
          <w:kern w:val="28"/>
          <w:sz w:val="20"/>
          <w:szCs w:val="20"/>
        </w:rPr>
        <w:t>Excellent command</w:t>
      </w:r>
      <w:r w:rsidRPr="004511AE">
        <w:rPr>
          <w:rFonts w:asciiTheme="minorHAnsi" w:hAnsiTheme="minorHAnsi" w:cstheme="minorHAnsi"/>
          <w:noProof/>
          <w:sz w:val="20"/>
          <w:szCs w:val="20"/>
          <w:lang w:eastAsia="zh-CN"/>
        </w:rPr>
        <w:t xml:space="preserve"> of English and </w:t>
      </w:r>
      <w:r w:rsidR="004511AE" w:rsidRPr="004511AE">
        <w:rPr>
          <w:rFonts w:asciiTheme="minorHAnsi" w:hAnsiTheme="minorHAnsi" w:cstheme="minorHAnsi"/>
          <w:noProof/>
          <w:sz w:val="20"/>
          <w:szCs w:val="20"/>
          <w:lang w:eastAsia="zh-CN"/>
        </w:rPr>
        <w:t>Arabic</w:t>
      </w:r>
      <w:r w:rsidRPr="004511AE">
        <w:rPr>
          <w:rFonts w:asciiTheme="minorHAnsi" w:hAnsiTheme="minorHAnsi" w:cstheme="minorHAnsi"/>
          <w:noProof/>
          <w:sz w:val="20"/>
          <w:szCs w:val="20"/>
          <w:lang w:eastAsia="zh-CN"/>
        </w:rPr>
        <w:t xml:space="preserve"> languages.</w:t>
      </w:r>
    </w:p>
    <w:p w14:paraId="19C2502F" w14:textId="7DAA2842" w:rsidR="0014522F" w:rsidRPr="00570F45" w:rsidRDefault="0014522F" w:rsidP="0014522F">
      <w:pPr>
        <w:pStyle w:val="p28"/>
        <w:tabs>
          <w:tab w:val="clear" w:pos="680"/>
          <w:tab w:val="clear" w:pos="1060"/>
        </w:tabs>
        <w:spacing w:line="240" w:lineRule="auto"/>
        <w:ind w:left="0" w:firstLine="0"/>
        <w:jc w:val="both"/>
        <w:rPr>
          <w:rFonts w:ascii="Seaford" w:hAnsi="Seaford" w:cstheme="minorHAnsi"/>
          <w:b/>
          <w:bCs/>
          <w:sz w:val="22"/>
          <w:szCs w:val="22"/>
          <w:lang w:val="en-GB"/>
        </w:rPr>
      </w:pPr>
    </w:p>
    <w:p w14:paraId="3CC7FEAE" w14:textId="77777777" w:rsidR="0014522F" w:rsidRPr="00AC0422" w:rsidRDefault="0014522F" w:rsidP="00173FDC">
      <w:pPr>
        <w:spacing w:after="0"/>
        <w:rPr>
          <w:rFonts w:asciiTheme="minorHAnsi" w:hAnsiTheme="minorHAnsi" w:cstheme="minorHAnsi"/>
          <w:b/>
          <w:iCs/>
          <w:noProof/>
          <w:szCs w:val="20"/>
          <w:lang w:eastAsia="zh-CN"/>
        </w:rPr>
      </w:pPr>
    </w:p>
    <w:p w14:paraId="646D4004" w14:textId="593892A4" w:rsidR="00173FDC" w:rsidRPr="00AC0422" w:rsidRDefault="00173FDC" w:rsidP="00173FDC">
      <w:pPr>
        <w:spacing w:after="0"/>
        <w:rPr>
          <w:rFonts w:asciiTheme="minorHAnsi" w:hAnsiTheme="minorHAnsi" w:cstheme="minorHAnsi"/>
          <w:noProof/>
          <w:szCs w:val="20"/>
          <w:lang w:eastAsia="zh-CN"/>
        </w:rPr>
      </w:pPr>
    </w:p>
    <w:p w14:paraId="3B0411B2" w14:textId="77777777" w:rsidR="00173FDC" w:rsidRPr="00AC0422" w:rsidRDefault="00173FDC" w:rsidP="00173FDC">
      <w:pPr>
        <w:spacing w:after="0"/>
        <w:rPr>
          <w:rFonts w:asciiTheme="minorHAnsi" w:hAnsiTheme="minorHAnsi" w:cstheme="minorHAnsi"/>
          <w:noProof/>
          <w:szCs w:val="20"/>
          <w:lang w:eastAsia="zh-CN"/>
        </w:rPr>
      </w:pPr>
    </w:p>
    <w:p w14:paraId="58971E66" w14:textId="1C9F5F07" w:rsidR="00425819" w:rsidRPr="00AC0422" w:rsidRDefault="00425819" w:rsidP="00173FDC">
      <w:pPr>
        <w:spacing w:after="0"/>
        <w:rPr>
          <w:rFonts w:asciiTheme="minorHAnsi" w:hAnsiTheme="minorHAnsi" w:cstheme="minorHAnsi"/>
          <w:szCs w:val="20"/>
        </w:rPr>
      </w:pPr>
      <w:r w:rsidRPr="00AC0422">
        <w:rPr>
          <w:rFonts w:asciiTheme="minorHAnsi" w:hAnsiTheme="minorHAnsi" w:cstheme="minorHAnsi"/>
          <w:b/>
          <w:bCs/>
          <w:szCs w:val="20"/>
        </w:rPr>
        <w:t xml:space="preserve">NAP Lead Technical Specialist </w:t>
      </w:r>
      <w:r w:rsidRPr="00AC0422">
        <w:rPr>
          <w:rFonts w:asciiTheme="minorHAnsi" w:hAnsiTheme="minorHAnsi" w:cstheme="minorHAnsi"/>
          <w:szCs w:val="20"/>
        </w:rPr>
        <w:t xml:space="preserve"> </w:t>
      </w:r>
    </w:p>
    <w:p w14:paraId="5D943E91" w14:textId="6164D1C1" w:rsidR="003278EC" w:rsidRPr="00AC0422" w:rsidRDefault="003278EC" w:rsidP="00173FDC">
      <w:pPr>
        <w:spacing w:after="0"/>
        <w:rPr>
          <w:rFonts w:asciiTheme="minorHAnsi" w:hAnsiTheme="minorHAnsi" w:cstheme="minorHAnsi"/>
          <w:szCs w:val="20"/>
        </w:rPr>
      </w:pPr>
      <w:r w:rsidRPr="00AC0422">
        <w:rPr>
          <w:rFonts w:asciiTheme="minorHAnsi" w:hAnsiTheme="minorHAnsi" w:cstheme="minorHAnsi"/>
          <w:szCs w:val="20"/>
        </w:rPr>
        <w:t xml:space="preserve">The Technical Specialist will provide technical guidance on all climate policy and strategic related matters across the </w:t>
      </w:r>
      <w:r w:rsidR="005071AD">
        <w:rPr>
          <w:rFonts w:asciiTheme="minorHAnsi" w:hAnsiTheme="minorHAnsi" w:cstheme="minorHAnsi"/>
          <w:szCs w:val="20"/>
        </w:rPr>
        <w:t>three</w:t>
      </w:r>
      <w:r w:rsidR="005071AD" w:rsidRPr="00AC0422">
        <w:rPr>
          <w:rFonts w:asciiTheme="minorHAnsi" w:hAnsiTheme="minorHAnsi" w:cstheme="minorHAnsi"/>
          <w:szCs w:val="20"/>
        </w:rPr>
        <w:t xml:space="preserve"> </w:t>
      </w:r>
      <w:r w:rsidRPr="00AC0422">
        <w:rPr>
          <w:rFonts w:asciiTheme="minorHAnsi" w:hAnsiTheme="minorHAnsi" w:cstheme="minorHAnsi"/>
          <w:szCs w:val="20"/>
        </w:rPr>
        <w:t xml:space="preserve">outcomes of the project. </w:t>
      </w:r>
      <w:proofErr w:type="spellStart"/>
      <w:r w:rsidR="00A31D68">
        <w:rPr>
          <w:rFonts w:asciiTheme="minorHAnsi" w:hAnsiTheme="minorHAnsi" w:cstheme="minorHAnsi"/>
          <w:szCs w:val="20"/>
        </w:rPr>
        <w:t>He/She</w:t>
      </w:r>
      <w:proofErr w:type="spellEnd"/>
      <w:r w:rsidR="00A31D68" w:rsidRPr="00AC0422">
        <w:rPr>
          <w:rFonts w:asciiTheme="minorHAnsi" w:hAnsiTheme="minorHAnsi" w:cstheme="minorHAnsi"/>
          <w:szCs w:val="20"/>
        </w:rPr>
        <w:t xml:space="preserve"> </w:t>
      </w:r>
      <w:r w:rsidRPr="00AC0422">
        <w:rPr>
          <w:rFonts w:asciiTheme="minorHAnsi" w:hAnsiTheme="minorHAnsi" w:cstheme="minorHAnsi"/>
          <w:szCs w:val="20"/>
        </w:rPr>
        <w:t xml:space="preserve">will be the main person responsible for establishing baselines on adaptation planning in </w:t>
      </w:r>
      <w:r w:rsidR="00A31D68">
        <w:rPr>
          <w:rFonts w:asciiTheme="minorHAnsi" w:hAnsiTheme="minorHAnsi" w:cstheme="minorHAnsi"/>
          <w:szCs w:val="20"/>
        </w:rPr>
        <w:t>Yemen</w:t>
      </w:r>
      <w:r w:rsidRPr="00AC0422">
        <w:rPr>
          <w:rFonts w:asciiTheme="minorHAnsi" w:hAnsiTheme="minorHAnsi" w:cstheme="minorHAnsi"/>
          <w:szCs w:val="20"/>
        </w:rPr>
        <w:t xml:space="preserve"> by reviewing the climate and socio-economic information available, existing policies and strategies, alignment with the NDC and other UNFCCC related processes, and will provide quality assurance on all technical outputs.</w:t>
      </w:r>
    </w:p>
    <w:p w14:paraId="39195978" w14:textId="0D0A420A" w:rsidR="00E35BF2" w:rsidRPr="00AC0422" w:rsidRDefault="00833F26" w:rsidP="00173FDC">
      <w:pPr>
        <w:spacing w:after="0"/>
        <w:rPr>
          <w:rFonts w:asciiTheme="minorHAnsi" w:hAnsiTheme="minorHAnsi" w:cstheme="minorHAnsi"/>
          <w:szCs w:val="20"/>
        </w:rPr>
      </w:pPr>
      <w:r w:rsidRPr="00AC0422">
        <w:rPr>
          <w:rFonts w:asciiTheme="minorHAnsi" w:hAnsiTheme="minorHAnsi" w:cstheme="minorHAnsi"/>
          <w:szCs w:val="20"/>
        </w:rPr>
        <w:t>Lead integration work and climate finance related activities:</w:t>
      </w:r>
    </w:p>
    <w:p w14:paraId="052AEEDD" w14:textId="4C59B283" w:rsidR="00E35BF2"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t xml:space="preserve">Provide overall technical supervision and support to the existing NAP coordinating committee, to conduct the NAP process, and to guarantee its national and local </w:t>
      </w:r>
      <w:proofErr w:type="gramStart"/>
      <w:r w:rsidRPr="00AC0422">
        <w:rPr>
          <w:rFonts w:asciiTheme="minorHAnsi" w:hAnsiTheme="minorHAnsi" w:cstheme="minorHAnsi"/>
          <w:sz w:val="20"/>
          <w:szCs w:val="20"/>
        </w:rPr>
        <w:t>appropriation;</w:t>
      </w:r>
      <w:proofErr w:type="gramEnd"/>
    </w:p>
    <w:p w14:paraId="52E4B2D5" w14:textId="6F58500B" w:rsidR="00E35BF2"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t xml:space="preserve">Lead capacity building activities related to climate finance; o Lead technical studies that will contribute to concept note </w:t>
      </w:r>
      <w:proofErr w:type="gramStart"/>
      <w:r w:rsidRPr="00AC0422">
        <w:rPr>
          <w:rFonts w:asciiTheme="minorHAnsi" w:hAnsiTheme="minorHAnsi" w:cstheme="minorHAnsi"/>
          <w:sz w:val="20"/>
          <w:szCs w:val="20"/>
        </w:rPr>
        <w:t>development;</w:t>
      </w:r>
      <w:proofErr w:type="gramEnd"/>
    </w:p>
    <w:p w14:paraId="2439E78C" w14:textId="03851F3C" w:rsidR="00E35BF2"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lastRenderedPageBreak/>
        <w:t xml:space="preserve">Lead activities related to budget </w:t>
      </w:r>
      <w:proofErr w:type="gramStart"/>
      <w:r w:rsidRPr="00AC0422">
        <w:rPr>
          <w:rFonts w:asciiTheme="minorHAnsi" w:hAnsiTheme="minorHAnsi" w:cstheme="minorHAnsi"/>
          <w:sz w:val="20"/>
          <w:szCs w:val="20"/>
        </w:rPr>
        <w:t>integration;</w:t>
      </w:r>
      <w:proofErr w:type="gramEnd"/>
    </w:p>
    <w:p w14:paraId="54834224" w14:textId="4E0104C6" w:rsidR="00E35BF2"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t xml:space="preserve">Oversee the review of institutional framework for climate change adaptation planning, budgeting and integration into national, sectoral and provincial processes and the GCF national </w:t>
      </w:r>
      <w:proofErr w:type="gramStart"/>
      <w:r w:rsidRPr="00AC0422">
        <w:rPr>
          <w:rFonts w:asciiTheme="minorHAnsi" w:hAnsiTheme="minorHAnsi" w:cstheme="minorHAnsi"/>
          <w:sz w:val="20"/>
          <w:szCs w:val="20"/>
        </w:rPr>
        <w:t>coordination;</w:t>
      </w:r>
      <w:proofErr w:type="gramEnd"/>
    </w:p>
    <w:p w14:paraId="6BD9FD1F" w14:textId="1C9107CF" w:rsidR="00E35BF2"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t xml:space="preserve">Oversee the drafting of climate change law/decree is available and submitted to the Parliament’s Environmental </w:t>
      </w:r>
      <w:proofErr w:type="gramStart"/>
      <w:r w:rsidRPr="00AC0422">
        <w:rPr>
          <w:rFonts w:asciiTheme="minorHAnsi" w:hAnsiTheme="minorHAnsi" w:cstheme="minorHAnsi"/>
          <w:sz w:val="20"/>
          <w:szCs w:val="20"/>
        </w:rPr>
        <w:t>Committee;</w:t>
      </w:r>
      <w:proofErr w:type="gramEnd"/>
    </w:p>
    <w:p w14:paraId="082F48E3" w14:textId="3B46CCF7" w:rsidR="00E35BF2"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t xml:space="preserve">Oversee the national and sectoral adaptation action </w:t>
      </w:r>
      <w:r w:rsidR="003278EC" w:rsidRPr="00AC0422">
        <w:rPr>
          <w:rFonts w:asciiTheme="minorHAnsi" w:hAnsiTheme="minorHAnsi" w:cstheme="minorHAnsi"/>
          <w:sz w:val="20"/>
          <w:szCs w:val="20"/>
        </w:rPr>
        <w:t>prioritization</w:t>
      </w:r>
      <w:r w:rsidRPr="00AC0422">
        <w:rPr>
          <w:rFonts w:asciiTheme="minorHAnsi" w:hAnsiTheme="minorHAnsi" w:cstheme="minorHAnsi"/>
          <w:sz w:val="20"/>
          <w:szCs w:val="20"/>
        </w:rPr>
        <w:t xml:space="preserve"> aligned with the Climate Resilient Economy vision of the 2015-2019 National Development Plan and the preparation of guidelines on local – level CC </w:t>
      </w:r>
      <w:proofErr w:type="gramStart"/>
      <w:r w:rsidRPr="00AC0422">
        <w:rPr>
          <w:rFonts w:asciiTheme="minorHAnsi" w:hAnsiTheme="minorHAnsi" w:cstheme="minorHAnsi"/>
          <w:sz w:val="20"/>
          <w:szCs w:val="20"/>
        </w:rPr>
        <w:t>integration;</w:t>
      </w:r>
      <w:proofErr w:type="gramEnd"/>
    </w:p>
    <w:p w14:paraId="4065DA92" w14:textId="0F8D83E4" w:rsidR="00E35BF2"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t>Identify climate finance needs and provide trainings to key ministries, local authorities, private sector, NGOs, and researchers on climate finance, including on-the-job mentoring of the National Office of Climate Change, Carbon and REDD (BN-CCCREDD</w:t>
      </w:r>
      <w:proofErr w:type="gramStart"/>
      <w:r w:rsidRPr="00AC0422">
        <w:rPr>
          <w:rFonts w:asciiTheme="minorHAnsi" w:hAnsiTheme="minorHAnsi" w:cstheme="minorHAnsi"/>
          <w:sz w:val="20"/>
          <w:szCs w:val="20"/>
        </w:rPr>
        <w:t>);</w:t>
      </w:r>
      <w:proofErr w:type="gramEnd"/>
    </w:p>
    <w:p w14:paraId="6DBE7DB6" w14:textId="561DEF9D" w:rsidR="00833F26" w:rsidRPr="00AC0422" w:rsidRDefault="00833F26" w:rsidP="005D2C02">
      <w:pPr>
        <w:pStyle w:val="ListParagraph"/>
        <w:numPr>
          <w:ilvl w:val="0"/>
          <w:numId w:val="22"/>
        </w:numPr>
        <w:rPr>
          <w:rFonts w:asciiTheme="minorHAnsi" w:hAnsiTheme="minorHAnsi" w:cstheme="minorHAnsi"/>
          <w:sz w:val="20"/>
          <w:szCs w:val="20"/>
        </w:rPr>
      </w:pPr>
      <w:r w:rsidRPr="00AC0422">
        <w:rPr>
          <w:rFonts w:asciiTheme="minorHAnsi" w:hAnsiTheme="minorHAnsi" w:cstheme="minorHAnsi"/>
          <w:sz w:val="20"/>
          <w:szCs w:val="20"/>
        </w:rPr>
        <w:t xml:space="preserve">Develop a strategy to promote private sector investment on CCA, in the </w:t>
      </w:r>
      <w:r w:rsidR="00E35BF2" w:rsidRPr="00AC0422">
        <w:rPr>
          <w:rFonts w:asciiTheme="minorHAnsi" w:hAnsiTheme="minorHAnsi" w:cstheme="minorHAnsi"/>
          <w:sz w:val="20"/>
          <w:szCs w:val="20"/>
        </w:rPr>
        <w:t xml:space="preserve">five </w:t>
      </w:r>
      <w:r w:rsidRPr="00AC0422">
        <w:rPr>
          <w:rFonts w:asciiTheme="minorHAnsi" w:hAnsiTheme="minorHAnsi" w:cstheme="minorHAnsi"/>
          <w:sz w:val="20"/>
          <w:szCs w:val="20"/>
        </w:rPr>
        <w:t xml:space="preserve">priority sectors </w:t>
      </w:r>
      <w:r w:rsidR="00E35BF2" w:rsidRPr="00AC0422">
        <w:rPr>
          <w:rFonts w:asciiTheme="minorHAnsi" w:hAnsiTheme="minorHAnsi" w:cstheme="minorHAnsi"/>
          <w:sz w:val="20"/>
          <w:szCs w:val="20"/>
          <w:lang w:val="en-GB"/>
        </w:rPr>
        <w:t>(agriculture, forestry, water, energy and health)</w:t>
      </w:r>
      <w:r w:rsidRPr="00AC0422">
        <w:rPr>
          <w:rFonts w:asciiTheme="minorHAnsi" w:hAnsiTheme="minorHAnsi" w:cstheme="minorHAnsi"/>
          <w:sz w:val="20"/>
          <w:szCs w:val="20"/>
        </w:rPr>
        <w:t>.</w:t>
      </w:r>
    </w:p>
    <w:p w14:paraId="70D86D70" w14:textId="77777777" w:rsidR="00E35BF2" w:rsidRPr="00AC0422" w:rsidRDefault="00E35BF2" w:rsidP="00173FDC">
      <w:pPr>
        <w:spacing w:after="0"/>
        <w:rPr>
          <w:rFonts w:asciiTheme="minorHAnsi" w:hAnsiTheme="minorHAnsi" w:cstheme="minorHAnsi"/>
          <w:szCs w:val="20"/>
        </w:rPr>
      </w:pPr>
    </w:p>
    <w:p w14:paraId="571F1137" w14:textId="7CFF7FD8" w:rsidR="00833F26" w:rsidRPr="00AC0422" w:rsidRDefault="00833F26" w:rsidP="00173FDC">
      <w:pPr>
        <w:spacing w:after="0"/>
        <w:rPr>
          <w:rFonts w:asciiTheme="minorHAnsi" w:hAnsiTheme="minorHAnsi" w:cstheme="minorHAnsi"/>
          <w:szCs w:val="20"/>
        </w:rPr>
      </w:pPr>
      <w:r w:rsidRPr="00AC0422">
        <w:rPr>
          <w:rFonts w:asciiTheme="minorHAnsi" w:hAnsiTheme="minorHAnsi" w:cstheme="minorHAnsi"/>
          <w:szCs w:val="20"/>
        </w:rPr>
        <w:t>Required skills and expertise:</w:t>
      </w:r>
    </w:p>
    <w:p w14:paraId="44E7464B" w14:textId="73CFC143" w:rsidR="00833F26" w:rsidRPr="00282B2C" w:rsidRDefault="00833F26" w:rsidP="00282B2C">
      <w:pPr>
        <w:pStyle w:val="ListParagraph"/>
        <w:numPr>
          <w:ilvl w:val="0"/>
          <w:numId w:val="52"/>
        </w:numPr>
        <w:rPr>
          <w:rFonts w:asciiTheme="minorHAnsi" w:hAnsiTheme="minorHAnsi" w:cstheme="minorHAnsi"/>
          <w:szCs w:val="20"/>
        </w:rPr>
      </w:pPr>
      <w:r w:rsidRPr="00282B2C">
        <w:rPr>
          <w:rFonts w:asciiTheme="minorHAnsi" w:hAnsiTheme="minorHAnsi" w:cstheme="minorHAnsi"/>
          <w:sz w:val="20"/>
          <w:szCs w:val="20"/>
        </w:rPr>
        <w:t xml:space="preserve">A university degree (MSc or PhD) in a subject related to environment/development economics, natural resource management or environmental sciences, project </w:t>
      </w:r>
      <w:proofErr w:type="gramStart"/>
      <w:r w:rsidRPr="00282B2C">
        <w:rPr>
          <w:rFonts w:asciiTheme="minorHAnsi" w:hAnsiTheme="minorHAnsi" w:cstheme="minorHAnsi"/>
          <w:sz w:val="20"/>
          <w:szCs w:val="20"/>
        </w:rPr>
        <w:t>management;</w:t>
      </w:r>
      <w:proofErr w:type="gramEnd"/>
    </w:p>
    <w:p w14:paraId="5C6AB5DF" w14:textId="5452DFEE" w:rsidR="00425819" w:rsidRPr="00282B2C" w:rsidRDefault="00833F26" w:rsidP="00282B2C">
      <w:pPr>
        <w:pStyle w:val="ListParagraph"/>
        <w:numPr>
          <w:ilvl w:val="0"/>
          <w:numId w:val="52"/>
        </w:numPr>
        <w:rPr>
          <w:rFonts w:asciiTheme="minorHAnsi" w:hAnsiTheme="minorHAnsi" w:cstheme="minorHAnsi"/>
          <w:szCs w:val="20"/>
        </w:rPr>
      </w:pPr>
      <w:r w:rsidRPr="00282B2C">
        <w:rPr>
          <w:rFonts w:asciiTheme="minorHAnsi" w:hAnsiTheme="minorHAnsi" w:cstheme="minorHAnsi"/>
          <w:sz w:val="20"/>
          <w:szCs w:val="20"/>
        </w:rPr>
        <w:t xml:space="preserve">Minimum seven (7) years of experience in policy analysis, advice and capacity development related to climate finance, and public policy/finance/budget management in developing </w:t>
      </w:r>
      <w:proofErr w:type="gramStart"/>
      <w:r w:rsidRPr="00282B2C">
        <w:rPr>
          <w:rFonts w:asciiTheme="minorHAnsi" w:hAnsiTheme="minorHAnsi" w:cstheme="minorHAnsi"/>
          <w:sz w:val="20"/>
          <w:szCs w:val="20"/>
        </w:rPr>
        <w:t>countries;</w:t>
      </w:r>
      <w:proofErr w:type="gramEnd"/>
    </w:p>
    <w:p w14:paraId="77C0745B" w14:textId="77777777" w:rsidR="00833F26" w:rsidRPr="00AC0422" w:rsidRDefault="00833F26" w:rsidP="00173FDC">
      <w:pPr>
        <w:spacing w:after="0"/>
        <w:rPr>
          <w:rFonts w:asciiTheme="minorHAnsi" w:hAnsiTheme="minorHAnsi" w:cstheme="minorHAnsi"/>
          <w:szCs w:val="20"/>
        </w:rPr>
      </w:pPr>
    </w:p>
    <w:p w14:paraId="2627A98A" w14:textId="05B54C75" w:rsidR="00173FDC" w:rsidRPr="00AC0422" w:rsidRDefault="00173FDC" w:rsidP="00173FDC">
      <w:pPr>
        <w:spacing w:after="0"/>
        <w:rPr>
          <w:rFonts w:asciiTheme="minorHAnsi" w:hAnsiTheme="minorHAnsi" w:cstheme="minorHAnsi"/>
          <w:b/>
          <w:szCs w:val="20"/>
        </w:rPr>
      </w:pPr>
      <w:r w:rsidRPr="00AC0422">
        <w:rPr>
          <w:rFonts w:asciiTheme="minorHAnsi" w:hAnsiTheme="minorHAnsi" w:cstheme="minorHAnsi"/>
          <w:b/>
          <w:szCs w:val="20"/>
        </w:rPr>
        <w:t xml:space="preserve">Project Monitoring and Evaluation </w:t>
      </w:r>
      <w:r w:rsidR="00FD7A4A" w:rsidRPr="00AC0422">
        <w:rPr>
          <w:rFonts w:asciiTheme="minorHAnsi" w:hAnsiTheme="minorHAnsi" w:cstheme="minorHAnsi"/>
          <w:b/>
          <w:szCs w:val="20"/>
        </w:rPr>
        <w:t>Expert</w:t>
      </w:r>
      <w:r w:rsidR="00473473" w:rsidRPr="00AC0422">
        <w:rPr>
          <w:rFonts w:asciiTheme="minorHAnsi" w:eastAsia="Arial" w:hAnsiTheme="minorHAnsi" w:cstheme="minorHAnsi"/>
          <w:b/>
          <w:bCs/>
          <w:color w:val="000000" w:themeColor="text1"/>
          <w:szCs w:val="20"/>
        </w:rPr>
        <w:t xml:space="preserve"> (National UNV)</w:t>
      </w:r>
    </w:p>
    <w:p w14:paraId="5A9FDEBC" w14:textId="31111400" w:rsidR="00173FDC" w:rsidRPr="00AC0422" w:rsidRDefault="00173FDC" w:rsidP="00173FDC">
      <w:pPr>
        <w:spacing w:after="0"/>
        <w:rPr>
          <w:rFonts w:asciiTheme="minorHAnsi" w:hAnsiTheme="minorHAnsi" w:cstheme="minorHAnsi"/>
          <w:szCs w:val="20"/>
        </w:rPr>
      </w:pPr>
      <w:r w:rsidRPr="00AC0422">
        <w:rPr>
          <w:rFonts w:asciiTheme="minorHAnsi" w:hAnsiTheme="minorHAnsi" w:cstheme="minorHAnsi"/>
          <w:szCs w:val="20"/>
        </w:rPr>
        <w:t xml:space="preserve">Under the overall supervision and guidance of the Project Manager, the M&amp;E </w:t>
      </w:r>
      <w:r w:rsidR="00473473" w:rsidRPr="00AC0422">
        <w:rPr>
          <w:rFonts w:asciiTheme="minorHAnsi" w:hAnsiTheme="minorHAnsi" w:cstheme="minorHAnsi"/>
          <w:szCs w:val="20"/>
        </w:rPr>
        <w:t>Expert</w:t>
      </w:r>
      <w:r w:rsidRPr="00AC0422">
        <w:rPr>
          <w:rFonts w:asciiTheme="minorHAnsi" w:hAnsiTheme="minorHAnsi" w:cstheme="minorHAnsi"/>
          <w:szCs w:val="20"/>
        </w:rPr>
        <w:t xml:space="preserve"> will have the responsibility for project monitoring and evaluation. The M&amp;E </w:t>
      </w:r>
      <w:r w:rsidR="00473473" w:rsidRPr="00AC0422">
        <w:rPr>
          <w:rFonts w:asciiTheme="minorHAnsi" w:hAnsiTheme="minorHAnsi" w:cstheme="minorHAnsi"/>
          <w:szCs w:val="20"/>
        </w:rPr>
        <w:t>Expert</w:t>
      </w:r>
      <w:r w:rsidRPr="00AC0422">
        <w:rPr>
          <w:rFonts w:asciiTheme="minorHAnsi" w:hAnsiTheme="minorHAnsi" w:cstheme="minorHAnsi"/>
          <w:szCs w:val="20"/>
        </w:rPr>
        <w:t xml:space="preserve"> will work closely with the Communication</w:t>
      </w:r>
      <w:r w:rsidR="00E8149A" w:rsidRPr="00AC0422">
        <w:rPr>
          <w:rFonts w:asciiTheme="minorHAnsi" w:hAnsiTheme="minorHAnsi" w:cstheme="minorHAnsi"/>
          <w:szCs w:val="20"/>
        </w:rPr>
        <w:t xml:space="preserve"> and Knowledge Management Specialist</w:t>
      </w:r>
      <w:r w:rsidRPr="00AC0422">
        <w:rPr>
          <w:rFonts w:asciiTheme="minorHAnsi" w:hAnsiTheme="minorHAnsi" w:cstheme="minorHAnsi"/>
          <w:szCs w:val="20"/>
        </w:rPr>
        <w:t xml:space="preserve"> on knowledge management aspects of the project. Specific responsibilities will include:</w:t>
      </w:r>
    </w:p>
    <w:p w14:paraId="66C1573F" w14:textId="254AA327" w:rsidR="002748E1" w:rsidRPr="00AC0422" w:rsidRDefault="002748E1"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Review</w:t>
      </w:r>
      <w:r w:rsidRPr="00AC0422">
        <w:rPr>
          <w:rFonts w:asciiTheme="minorHAnsi" w:eastAsia="Arial" w:hAnsiTheme="minorHAnsi" w:cstheme="minorHAnsi"/>
          <w:color w:val="000000" w:themeColor="text1"/>
          <w:szCs w:val="20"/>
          <w:lang w:val="en-GB"/>
        </w:rPr>
        <w:t xml:space="preserve">: how the project addresses country priorities; decision-making processes; the </w:t>
      </w:r>
      <w:proofErr w:type="spellStart"/>
      <w:r w:rsidRPr="00AC0422">
        <w:rPr>
          <w:rFonts w:asciiTheme="minorHAnsi" w:eastAsia="Arial" w:hAnsiTheme="minorHAnsi" w:cstheme="minorHAnsi"/>
          <w:color w:val="000000" w:themeColor="text1"/>
          <w:szCs w:val="20"/>
          <w:lang w:val="en-GB"/>
        </w:rPr>
        <w:t>logframe</w:t>
      </w:r>
      <w:proofErr w:type="spellEnd"/>
      <w:r w:rsidRPr="00AC0422">
        <w:rPr>
          <w:rFonts w:asciiTheme="minorHAnsi" w:eastAsia="Arial" w:hAnsiTheme="minorHAnsi" w:cstheme="minorHAnsi"/>
          <w:color w:val="000000" w:themeColor="text1"/>
          <w:szCs w:val="20"/>
          <w:lang w:val="en-GB"/>
        </w:rPr>
        <w:t xml:space="preserve"> indicators against progress made towards the </w:t>
      </w:r>
      <w:r w:rsidRPr="00AC0422">
        <w:rPr>
          <w:rFonts w:asciiTheme="minorHAnsi" w:eastAsia="Arial" w:hAnsiTheme="minorHAnsi" w:cstheme="minorHAnsi"/>
          <w:color w:val="000000" w:themeColor="text1"/>
          <w:szCs w:val="20"/>
        </w:rPr>
        <w:t>end-of-project targets</w:t>
      </w:r>
      <w:r w:rsidRPr="00AC0422">
        <w:rPr>
          <w:rFonts w:asciiTheme="minorHAnsi" w:eastAsia="Arial" w:hAnsiTheme="minorHAnsi" w:cstheme="minorHAnsi"/>
          <w:color w:val="000000" w:themeColor="text1"/>
          <w:szCs w:val="20"/>
          <w:lang w:val="en-GB"/>
        </w:rPr>
        <w:t>; the problem addressed by the project and the underlying assumptions; the relevance of the project strategy to assess whether it provides the most effective route towards expected/intended results.</w:t>
      </w:r>
    </w:p>
    <w:p w14:paraId="4230B6B3" w14:textId="7D6D9A5A" w:rsidR="00173FDC" w:rsidRPr="00AC0422" w:rsidRDefault="002748E1" w:rsidP="00164207">
      <w:pPr>
        <w:numPr>
          <w:ilvl w:val="0"/>
          <w:numId w:val="9"/>
        </w:numPr>
        <w:spacing w:after="0" w:line="259"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lang w:val="en-GB"/>
        </w:rPr>
        <w:t>Support the development of the M&amp;E framework, the project indicators and the baseline survey.</w:t>
      </w:r>
    </w:p>
    <w:p w14:paraId="61DDDA26" w14:textId="77777777"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Monitor project progress and participate in the production of progress reports ensuring that they meet the necessary reporting requirements and </w:t>
      </w:r>
      <w:proofErr w:type="gramStart"/>
      <w:r w:rsidRPr="00AC0422">
        <w:rPr>
          <w:rFonts w:asciiTheme="minorHAnsi" w:hAnsiTheme="minorHAnsi" w:cstheme="minorHAnsi"/>
          <w:szCs w:val="20"/>
        </w:rPr>
        <w:t>standards;</w:t>
      </w:r>
      <w:proofErr w:type="gramEnd"/>
    </w:p>
    <w:p w14:paraId="1706DDF1" w14:textId="035B1582"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Ensure project’s M&amp;E meets the requirements of the Government, the UNDP Country Office, and UNDP-</w:t>
      </w:r>
      <w:r w:rsidR="00DA2CCA" w:rsidRPr="00DA2CCA">
        <w:rPr>
          <w:rFonts w:asciiTheme="minorHAnsi" w:eastAsia="Arial" w:hAnsiTheme="minorHAnsi" w:cstheme="minorHAnsi"/>
          <w:szCs w:val="20"/>
        </w:rPr>
        <w:t xml:space="preserve"> </w:t>
      </w:r>
      <w:r w:rsidR="00DA2CCA">
        <w:rPr>
          <w:rFonts w:asciiTheme="minorHAnsi" w:eastAsia="Arial" w:hAnsiTheme="minorHAnsi" w:cstheme="minorHAnsi"/>
          <w:szCs w:val="20"/>
        </w:rPr>
        <w:t>Climate Hub</w:t>
      </w:r>
      <w:r w:rsidRPr="00AC0422">
        <w:rPr>
          <w:rFonts w:asciiTheme="minorHAnsi" w:hAnsiTheme="minorHAnsi" w:cstheme="minorHAnsi"/>
          <w:szCs w:val="20"/>
        </w:rPr>
        <w:t xml:space="preserve">; develop project-specific M&amp;E tools as </w:t>
      </w:r>
      <w:proofErr w:type="gramStart"/>
      <w:r w:rsidRPr="00AC0422">
        <w:rPr>
          <w:rFonts w:asciiTheme="minorHAnsi" w:hAnsiTheme="minorHAnsi" w:cstheme="minorHAnsi"/>
          <w:szCs w:val="20"/>
        </w:rPr>
        <w:t>necessary;</w:t>
      </w:r>
      <w:proofErr w:type="gramEnd"/>
    </w:p>
    <w:p w14:paraId="7D7D1CDF" w14:textId="77777777"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Oversee and ensure the implementation of the project’s M&amp;E plan, including periodic appraisal of the Project’s Theory of Change and Results Framework with reference to actual and potential project progress and </w:t>
      </w:r>
      <w:proofErr w:type="gramStart"/>
      <w:r w:rsidRPr="00AC0422">
        <w:rPr>
          <w:rFonts w:asciiTheme="minorHAnsi" w:hAnsiTheme="minorHAnsi" w:cstheme="minorHAnsi"/>
          <w:szCs w:val="20"/>
        </w:rPr>
        <w:t>results;</w:t>
      </w:r>
      <w:proofErr w:type="gramEnd"/>
    </w:p>
    <w:p w14:paraId="43C98B4D" w14:textId="77777777"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Oversee/develop/coordinate the implementation of the stakeholder engagement </w:t>
      </w:r>
      <w:proofErr w:type="gramStart"/>
      <w:r w:rsidRPr="00AC0422">
        <w:rPr>
          <w:rFonts w:asciiTheme="minorHAnsi" w:hAnsiTheme="minorHAnsi" w:cstheme="minorHAnsi"/>
          <w:szCs w:val="20"/>
        </w:rPr>
        <w:t>plan;</w:t>
      </w:r>
      <w:proofErr w:type="gramEnd"/>
    </w:p>
    <w:p w14:paraId="25F1DF38" w14:textId="77777777"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Oversee and guide the design of surveys/ assessments commissioned for monitoring and evaluating project </w:t>
      </w:r>
      <w:proofErr w:type="gramStart"/>
      <w:r w:rsidRPr="00AC0422">
        <w:rPr>
          <w:rFonts w:asciiTheme="minorHAnsi" w:hAnsiTheme="minorHAnsi" w:cstheme="minorHAnsi"/>
          <w:szCs w:val="20"/>
        </w:rPr>
        <w:t>results;</w:t>
      </w:r>
      <w:proofErr w:type="gramEnd"/>
    </w:p>
    <w:p w14:paraId="512F576F" w14:textId="77777777"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Facilitate annual reviews of the project and produce analytical reports from these annual reviews, including learning and other knowledge management </w:t>
      </w:r>
      <w:proofErr w:type="gramStart"/>
      <w:r w:rsidRPr="00AC0422">
        <w:rPr>
          <w:rFonts w:asciiTheme="minorHAnsi" w:hAnsiTheme="minorHAnsi" w:cstheme="minorHAnsi"/>
          <w:szCs w:val="20"/>
        </w:rPr>
        <w:t>products;</w:t>
      </w:r>
      <w:proofErr w:type="gramEnd"/>
    </w:p>
    <w:p w14:paraId="203A1FEF" w14:textId="77777777"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Support project site M&amp;E and learning </w:t>
      </w:r>
      <w:proofErr w:type="gramStart"/>
      <w:r w:rsidRPr="00AC0422">
        <w:rPr>
          <w:rFonts w:asciiTheme="minorHAnsi" w:hAnsiTheme="minorHAnsi" w:cstheme="minorHAnsi"/>
          <w:szCs w:val="20"/>
        </w:rPr>
        <w:t>missions;</w:t>
      </w:r>
      <w:proofErr w:type="gramEnd"/>
      <w:r w:rsidRPr="00AC0422">
        <w:rPr>
          <w:rFonts w:asciiTheme="minorHAnsi" w:hAnsiTheme="minorHAnsi" w:cstheme="minorHAnsi"/>
          <w:szCs w:val="20"/>
        </w:rPr>
        <w:t xml:space="preserve"> </w:t>
      </w:r>
    </w:p>
    <w:p w14:paraId="70E7C8CC" w14:textId="77777777" w:rsidR="00173FDC" w:rsidRPr="00AC0422" w:rsidRDefault="00173FDC" w:rsidP="00164207">
      <w:pPr>
        <w:numPr>
          <w:ilvl w:val="0"/>
          <w:numId w:val="9"/>
        </w:numPr>
        <w:spacing w:after="0" w:line="259" w:lineRule="auto"/>
        <w:jc w:val="left"/>
        <w:rPr>
          <w:rFonts w:asciiTheme="minorHAnsi" w:hAnsiTheme="minorHAnsi" w:cstheme="minorHAnsi"/>
          <w:szCs w:val="20"/>
        </w:rPr>
      </w:pPr>
      <w:r w:rsidRPr="00AC0422">
        <w:rPr>
          <w:rFonts w:asciiTheme="minorHAnsi" w:hAnsiTheme="minorHAnsi" w:cstheme="minorHAnsi"/>
          <w:szCs w:val="20"/>
        </w:rPr>
        <w:t>Visit project sites as and when required to appraise project progress on the ground and validate written progress reports.</w:t>
      </w:r>
    </w:p>
    <w:p w14:paraId="070F2410" w14:textId="77777777" w:rsidR="00173FDC" w:rsidRPr="00AC0422" w:rsidRDefault="00173FDC" w:rsidP="00173FDC">
      <w:pPr>
        <w:spacing w:after="0"/>
        <w:rPr>
          <w:rFonts w:asciiTheme="minorHAnsi" w:hAnsiTheme="minorHAnsi" w:cstheme="minorHAnsi"/>
          <w:szCs w:val="20"/>
        </w:rPr>
      </w:pPr>
    </w:p>
    <w:p w14:paraId="6AE7274B" w14:textId="3AA31D8E" w:rsidR="00173FDC" w:rsidRPr="00AC0422" w:rsidRDefault="00173FDC" w:rsidP="00173FDC">
      <w:pPr>
        <w:spacing w:after="0"/>
        <w:rPr>
          <w:rFonts w:asciiTheme="minorHAnsi" w:hAnsiTheme="minorHAnsi" w:cstheme="minorHAnsi"/>
          <w:szCs w:val="20"/>
        </w:rPr>
      </w:pPr>
      <w:r w:rsidRPr="00AC0422">
        <w:rPr>
          <w:rFonts w:asciiTheme="minorHAnsi" w:hAnsiTheme="minorHAnsi" w:cstheme="minorHAnsi"/>
          <w:szCs w:val="20"/>
        </w:rPr>
        <w:t xml:space="preserve">The Project M&amp;E </w:t>
      </w:r>
      <w:r w:rsidR="002748E1" w:rsidRPr="00AC0422">
        <w:rPr>
          <w:rFonts w:asciiTheme="minorHAnsi" w:hAnsiTheme="minorHAnsi" w:cstheme="minorHAnsi"/>
          <w:szCs w:val="20"/>
        </w:rPr>
        <w:t>Expert</w:t>
      </w:r>
      <w:r w:rsidRPr="00AC0422">
        <w:rPr>
          <w:rFonts w:asciiTheme="minorHAnsi" w:hAnsiTheme="minorHAnsi" w:cstheme="minorHAnsi"/>
          <w:szCs w:val="20"/>
        </w:rPr>
        <w:t xml:space="preserve"> will be recruited based on the following qualifications</w:t>
      </w:r>
    </w:p>
    <w:p w14:paraId="40DB4BE7"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proofErr w:type="spellStart"/>
      <w:proofErr w:type="gramStart"/>
      <w:r w:rsidRPr="00AC0422">
        <w:rPr>
          <w:rFonts w:asciiTheme="minorHAnsi" w:hAnsiTheme="minorHAnsi" w:cstheme="minorHAnsi"/>
          <w:szCs w:val="20"/>
        </w:rPr>
        <w:t>Masters</w:t>
      </w:r>
      <w:proofErr w:type="spellEnd"/>
      <w:proofErr w:type="gramEnd"/>
      <w:r w:rsidRPr="00AC0422">
        <w:rPr>
          <w:rFonts w:asciiTheme="minorHAnsi" w:hAnsiTheme="minorHAnsi" w:cstheme="minorHAnsi"/>
          <w:szCs w:val="20"/>
        </w:rPr>
        <w:t xml:space="preserve"> degree, preferably in the field of environmental or natural resources </w:t>
      </w:r>
      <w:proofErr w:type="gramStart"/>
      <w:r w:rsidRPr="00AC0422">
        <w:rPr>
          <w:rFonts w:asciiTheme="minorHAnsi" w:hAnsiTheme="minorHAnsi" w:cstheme="minorHAnsi"/>
          <w:szCs w:val="20"/>
        </w:rPr>
        <w:t>management;</w:t>
      </w:r>
      <w:proofErr w:type="gramEnd"/>
      <w:r w:rsidRPr="00AC0422">
        <w:rPr>
          <w:rFonts w:asciiTheme="minorHAnsi" w:hAnsiTheme="minorHAnsi" w:cstheme="minorHAnsi"/>
          <w:szCs w:val="20"/>
        </w:rPr>
        <w:t xml:space="preserve"> </w:t>
      </w:r>
    </w:p>
    <w:p w14:paraId="37FBA6DF"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At least five years of relevant work experience preferably in a project management setting involving multi-lateral/ international funding agency. Previous experience with UN project will be a definite </w:t>
      </w:r>
      <w:proofErr w:type="gramStart"/>
      <w:r w:rsidRPr="00AC0422">
        <w:rPr>
          <w:rFonts w:asciiTheme="minorHAnsi" w:hAnsiTheme="minorHAnsi" w:cstheme="minorHAnsi"/>
          <w:szCs w:val="20"/>
        </w:rPr>
        <w:t>asset;</w:t>
      </w:r>
      <w:proofErr w:type="gramEnd"/>
    </w:p>
    <w:p w14:paraId="4C3D9D91"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lastRenderedPageBreak/>
        <w:t xml:space="preserve">Significant experience in collating, analyzing and writing up results for reporting </w:t>
      </w:r>
      <w:proofErr w:type="gramStart"/>
      <w:r w:rsidRPr="00AC0422">
        <w:rPr>
          <w:rFonts w:asciiTheme="minorHAnsi" w:hAnsiTheme="minorHAnsi" w:cstheme="minorHAnsi"/>
          <w:szCs w:val="20"/>
        </w:rPr>
        <w:t>purposes;</w:t>
      </w:r>
      <w:proofErr w:type="gramEnd"/>
    </w:p>
    <w:p w14:paraId="72D2945F"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Very good knowledge of results-based management and project cycle management, particularly with regards to M&amp;E approach and methods. Formal training in RBM/ PCM will be a definite </w:t>
      </w:r>
      <w:proofErr w:type="gramStart"/>
      <w:r w:rsidRPr="00AC0422">
        <w:rPr>
          <w:rFonts w:asciiTheme="minorHAnsi" w:hAnsiTheme="minorHAnsi" w:cstheme="minorHAnsi"/>
          <w:szCs w:val="20"/>
        </w:rPr>
        <w:t>asset;</w:t>
      </w:r>
      <w:proofErr w:type="gramEnd"/>
    </w:p>
    <w:p w14:paraId="1392F268"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Knowledge and working experience of the application of gender mainstreaming in international </w:t>
      </w:r>
      <w:proofErr w:type="gramStart"/>
      <w:r w:rsidRPr="00AC0422">
        <w:rPr>
          <w:rFonts w:asciiTheme="minorHAnsi" w:hAnsiTheme="minorHAnsi" w:cstheme="minorHAnsi"/>
          <w:szCs w:val="20"/>
        </w:rPr>
        <w:t>projects;</w:t>
      </w:r>
      <w:proofErr w:type="gramEnd"/>
    </w:p>
    <w:p w14:paraId="076A36DB"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Understanding of biodiversity conservation, law enforcement, sustainable livelihoods and associated </w:t>
      </w:r>
      <w:proofErr w:type="gramStart"/>
      <w:r w:rsidRPr="00AC0422">
        <w:rPr>
          <w:rFonts w:asciiTheme="minorHAnsi" w:hAnsiTheme="minorHAnsi" w:cstheme="minorHAnsi"/>
          <w:szCs w:val="20"/>
        </w:rPr>
        <w:t>issues;</w:t>
      </w:r>
      <w:proofErr w:type="gramEnd"/>
      <w:r w:rsidRPr="00AC0422">
        <w:rPr>
          <w:rFonts w:asciiTheme="minorHAnsi" w:hAnsiTheme="minorHAnsi" w:cstheme="minorHAnsi"/>
          <w:szCs w:val="20"/>
        </w:rPr>
        <w:t xml:space="preserve"> </w:t>
      </w:r>
    </w:p>
    <w:p w14:paraId="10C73672"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Very good inter-personal </w:t>
      </w:r>
      <w:proofErr w:type="gramStart"/>
      <w:r w:rsidRPr="00AC0422">
        <w:rPr>
          <w:rFonts w:asciiTheme="minorHAnsi" w:hAnsiTheme="minorHAnsi" w:cstheme="minorHAnsi"/>
          <w:szCs w:val="20"/>
        </w:rPr>
        <w:t>skills;</w:t>
      </w:r>
      <w:proofErr w:type="gramEnd"/>
    </w:p>
    <w:p w14:paraId="45806072" w14:textId="77777777"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t>Proficiency in computer application and information technology.</w:t>
      </w:r>
    </w:p>
    <w:p w14:paraId="6900D59F" w14:textId="0A65820F" w:rsidR="00173FDC" w:rsidRPr="00AC0422" w:rsidRDefault="00173FDC" w:rsidP="00164207">
      <w:pPr>
        <w:numPr>
          <w:ilvl w:val="0"/>
          <w:numId w:val="10"/>
        </w:numPr>
        <w:spacing w:after="0" w:line="259" w:lineRule="auto"/>
        <w:jc w:val="left"/>
        <w:rPr>
          <w:rFonts w:asciiTheme="minorHAnsi" w:hAnsiTheme="minorHAnsi" w:cstheme="minorHAnsi"/>
          <w:szCs w:val="20"/>
        </w:rPr>
      </w:pPr>
      <w:r w:rsidRPr="00AC0422">
        <w:rPr>
          <w:rFonts w:asciiTheme="minorHAnsi" w:hAnsiTheme="minorHAnsi" w:cstheme="minorHAnsi"/>
          <w:szCs w:val="20"/>
        </w:rPr>
        <w:t xml:space="preserve">Excellent language skills in English (writing, speaking and reading) and in </w:t>
      </w:r>
      <w:r w:rsidR="004511AE">
        <w:rPr>
          <w:rFonts w:asciiTheme="minorHAnsi" w:hAnsiTheme="minorHAnsi" w:cstheme="minorHAnsi"/>
          <w:szCs w:val="20"/>
        </w:rPr>
        <w:t>Arabic</w:t>
      </w:r>
      <w:r w:rsidRPr="00AC0422">
        <w:rPr>
          <w:rFonts w:asciiTheme="minorHAnsi" w:hAnsiTheme="minorHAnsi" w:cstheme="minorHAnsi"/>
          <w:szCs w:val="20"/>
        </w:rPr>
        <w:t xml:space="preserve"> languages.</w:t>
      </w:r>
    </w:p>
    <w:p w14:paraId="270FAE26" w14:textId="77777777" w:rsidR="00173FDC" w:rsidRPr="00AC0422" w:rsidRDefault="00173FDC" w:rsidP="00173FDC">
      <w:pPr>
        <w:spacing w:after="0"/>
        <w:rPr>
          <w:rFonts w:asciiTheme="minorHAnsi" w:hAnsiTheme="minorHAnsi" w:cstheme="minorHAnsi"/>
          <w:b/>
          <w:i/>
          <w:szCs w:val="20"/>
        </w:rPr>
      </w:pPr>
    </w:p>
    <w:p w14:paraId="3D1AE414" w14:textId="4D13B6D4" w:rsidR="00173FDC" w:rsidRPr="00AC0422" w:rsidRDefault="00173FDC" w:rsidP="00173FDC">
      <w:pPr>
        <w:spacing w:after="0"/>
        <w:rPr>
          <w:rFonts w:asciiTheme="minorHAnsi" w:hAnsiTheme="minorHAnsi" w:cstheme="minorHAnsi"/>
          <w:b/>
          <w:szCs w:val="20"/>
        </w:rPr>
      </w:pPr>
      <w:r w:rsidRPr="00AC0422">
        <w:rPr>
          <w:rFonts w:asciiTheme="minorHAnsi" w:hAnsiTheme="minorHAnsi" w:cstheme="minorHAnsi"/>
          <w:b/>
          <w:szCs w:val="20"/>
        </w:rPr>
        <w:t xml:space="preserve">Project </w:t>
      </w:r>
      <w:r w:rsidR="00E8149A" w:rsidRPr="00AC0422">
        <w:rPr>
          <w:rFonts w:asciiTheme="minorHAnsi" w:hAnsiTheme="minorHAnsi" w:cstheme="minorHAnsi"/>
          <w:b/>
          <w:szCs w:val="20"/>
        </w:rPr>
        <w:t xml:space="preserve">Administrative and </w:t>
      </w:r>
      <w:r w:rsidRPr="00AC0422">
        <w:rPr>
          <w:rFonts w:asciiTheme="minorHAnsi" w:hAnsiTheme="minorHAnsi" w:cstheme="minorHAnsi"/>
          <w:b/>
          <w:szCs w:val="20"/>
        </w:rPr>
        <w:t>Financ</w:t>
      </w:r>
      <w:r w:rsidR="00E8149A" w:rsidRPr="00AC0422">
        <w:rPr>
          <w:rFonts w:asciiTheme="minorHAnsi" w:hAnsiTheme="minorHAnsi" w:cstheme="minorHAnsi"/>
          <w:b/>
          <w:szCs w:val="20"/>
        </w:rPr>
        <w:t>ial</w:t>
      </w:r>
      <w:r w:rsidRPr="00AC0422">
        <w:rPr>
          <w:rFonts w:asciiTheme="minorHAnsi" w:hAnsiTheme="minorHAnsi" w:cstheme="minorHAnsi"/>
          <w:b/>
          <w:szCs w:val="20"/>
        </w:rPr>
        <w:t xml:space="preserve"> Assistant</w:t>
      </w:r>
    </w:p>
    <w:p w14:paraId="4BACA071" w14:textId="7122DDB3" w:rsidR="00173FDC" w:rsidRPr="00AC0422" w:rsidRDefault="00173FDC" w:rsidP="00173FDC">
      <w:pPr>
        <w:spacing w:after="0"/>
        <w:rPr>
          <w:rFonts w:asciiTheme="minorHAnsi" w:hAnsiTheme="minorHAnsi" w:cstheme="minorHAnsi"/>
          <w:szCs w:val="20"/>
        </w:rPr>
      </w:pPr>
      <w:r w:rsidRPr="00AC0422">
        <w:rPr>
          <w:rFonts w:asciiTheme="minorHAnsi" w:hAnsiTheme="minorHAnsi" w:cstheme="minorHAnsi"/>
          <w:szCs w:val="20"/>
        </w:rPr>
        <w:t>Under the guidance and supervision of the Project Manager, the Project A</w:t>
      </w:r>
      <w:r w:rsidR="00E8149A" w:rsidRPr="00AC0422">
        <w:rPr>
          <w:rFonts w:asciiTheme="minorHAnsi" w:hAnsiTheme="minorHAnsi" w:cstheme="minorHAnsi"/>
          <w:szCs w:val="20"/>
        </w:rPr>
        <w:t>dministrative and Financial Assistant</w:t>
      </w:r>
      <w:r w:rsidRPr="00AC0422">
        <w:rPr>
          <w:rFonts w:asciiTheme="minorHAnsi" w:hAnsiTheme="minorHAnsi" w:cstheme="minorHAnsi"/>
          <w:szCs w:val="20"/>
        </w:rPr>
        <w:t xml:space="preserve"> will have the following specific responsibilities:</w:t>
      </w:r>
    </w:p>
    <w:p w14:paraId="3893EC56" w14:textId="77777777" w:rsidR="00173FDC" w:rsidRPr="00AC0422" w:rsidRDefault="00173FDC" w:rsidP="005D2C02">
      <w:pPr>
        <w:numPr>
          <w:ilvl w:val="0"/>
          <w:numId w:val="11"/>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Keep records of project funds and expenditures, and ensure all project-related financial documentation are well maintained and readily available when required by the Project </w:t>
      </w:r>
      <w:proofErr w:type="gramStart"/>
      <w:r w:rsidRPr="00AC0422">
        <w:rPr>
          <w:rFonts w:asciiTheme="minorHAnsi" w:hAnsiTheme="minorHAnsi" w:cstheme="minorHAnsi"/>
          <w:szCs w:val="20"/>
        </w:rPr>
        <w:t>Manager;</w:t>
      </w:r>
      <w:proofErr w:type="gramEnd"/>
    </w:p>
    <w:p w14:paraId="1DDE7E8E" w14:textId="733B2FB2" w:rsidR="00173FDC" w:rsidRPr="00AC0422" w:rsidRDefault="00173FDC" w:rsidP="005D2C02">
      <w:pPr>
        <w:numPr>
          <w:ilvl w:val="0"/>
          <w:numId w:val="11"/>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Review project expenditures and ensure that project funds are used in compliance with the Project Document and financial rules and </w:t>
      </w:r>
      <w:proofErr w:type="gramStart"/>
      <w:r w:rsidRPr="00AC0422">
        <w:rPr>
          <w:rFonts w:asciiTheme="minorHAnsi" w:hAnsiTheme="minorHAnsi" w:cstheme="minorHAnsi"/>
          <w:szCs w:val="20"/>
        </w:rPr>
        <w:t>procedures;</w:t>
      </w:r>
      <w:proofErr w:type="gramEnd"/>
    </w:p>
    <w:p w14:paraId="3AA55162" w14:textId="77777777" w:rsidR="00173FDC" w:rsidRPr="00497686" w:rsidRDefault="00173FDC" w:rsidP="00497686">
      <w:pPr>
        <w:numPr>
          <w:ilvl w:val="0"/>
          <w:numId w:val="11"/>
        </w:numPr>
        <w:spacing w:after="0" w:line="256" w:lineRule="auto"/>
        <w:jc w:val="left"/>
        <w:rPr>
          <w:rFonts w:asciiTheme="minorHAnsi" w:hAnsiTheme="minorHAnsi" w:cstheme="minorHAnsi"/>
          <w:szCs w:val="20"/>
        </w:rPr>
      </w:pPr>
      <w:r w:rsidRPr="00497686">
        <w:rPr>
          <w:rFonts w:asciiTheme="minorHAnsi" w:hAnsiTheme="minorHAnsi" w:cstheme="minorHAnsi"/>
          <w:szCs w:val="20"/>
        </w:rPr>
        <w:t xml:space="preserve">Provide necessary financial information as and when required for project management </w:t>
      </w:r>
      <w:proofErr w:type="gramStart"/>
      <w:r w:rsidRPr="00497686">
        <w:rPr>
          <w:rFonts w:asciiTheme="minorHAnsi" w:hAnsiTheme="minorHAnsi" w:cstheme="minorHAnsi"/>
          <w:szCs w:val="20"/>
        </w:rPr>
        <w:t>decisions;</w:t>
      </w:r>
      <w:proofErr w:type="gramEnd"/>
    </w:p>
    <w:p w14:paraId="732FDFF6" w14:textId="77777777" w:rsidR="00173FDC" w:rsidRPr="00AC0422" w:rsidRDefault="00173FDC" w:rsidP="005D2C02">
      <w:pPr>
        <w:numPr>
          <w:ilvl w:val="0"/>
          <w:numId w:val="11"/>
        </w:numPr>
        <w:spacing w:after="0" w:line="256" w:lineRule="auto"/>
        <w:jc w:val="left"/>
        <w:rPr>
          <w:rFonts w:asciiTheme="minorHAnsi" w:hAnsiTheme="minorHAnsi" w:cstheme="minorHAnsi"/>
          <w:szCs w:val="20"/>
        </w:rPr>
      </w:pPr>
      <w:r w:rsidRPr="00AC0422">
        <w:rPr>
          <w:rFonts w:asciiTheme="minorHAnsi" w:hAnsiTheme="minorHAnsi" w:cstheme="minorHAnsi"/>
          <w:szCs w:val="20"/>
        </w:rPr>
        <w:t>Provide necessary financial information during project audit(s</w:t>
      </w:r>
      <w:proofErr w:type="gramStart"/>
      <w:r w:rsidRPr="00AC0422">
        <w:rPr>
          <w:rFonts w:asciiTheme="minorHAnsi" w:hAnsiTheme="minorHAnsi" w:cstheme="minorHAnsi"/>
          <w:szCs w:val="20"/>
        </w:rPr>
        <w:t>);</w:t>
      </w:r>
      <w:proofErr w:type="gramEnd"/>
    </w:p>
    <w:p w14:paraId="0EAFC586" w14:textId="77777777" w:rsidR="00173FDC" w:rsidRPr="00AC0422" w:rsidRDefault="00173FDC" w:rsidP="005D2C02">
      <w:pPr>
        <w:numPr>
          <w:ilvl w:val="0"/>
          <w:numId w:val="11"/>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Review annual budgets and project expenditure reports, and notify the Project Manager if there are any discrepancies or </w:t>
      </w:r>
      <w:proofErr w:type="gramStart"/>
      <w:r w:rsidRPr="00AC0422">
        <w:rPr>
          <w:rFonts w:asciiTheme="minorHAnsi" w:hAnsiTheme="minorHAnsi" w:cstheme="minorHAnsi"/>
          <w:szCs w:val="20"/>
        </w:rPr>
        <w:t>issues;</w:t>
      </w:r>
      <w:proofErr w:type="gramEnd"/>
    </w:p>
    <w:p w14:paraId="0CDA124B" w14:textId="209F227E" w:rsidR="00E8149A" w:rsidRPr="00AC0422" w:rsidRDefault="00E8149A" w:rsidP="005D2C02">
      <w:pPr>
        <w:numPr>
          <w:ilvl w:val="0"/>
          <w:numId w:val="11"/>
        </w:numPr>
        <w:spacing w:after="0" w:line="256" w:lineRule="auto"/>
        <w:jc w:val="left"/>
        <w:rPr>
          <w:rFonts w:asciiTheme="minorHAnsi" w:hAnsiTheme="minorHAnsi" w:cstheme="minorHAnsi"/>
          <w:szCs w:val="20"/>
        </w:rPr>
      </w:pPr>
      <w:r w:rsidRPr="00AC0422">
        <w:rPr>
          <w:rFonts w:asciiTheme="minorHAnsi" w:hAnsiTheme="minorHAnsi" w:cstheme="minorHAnsi"/>
          <w:szCs w:val="20"/>
        </w:rPr>
        <w:t>Provide PMU-related administrative and logistical assistance</w:t>
      </w:r>
      <w:r w:rsidR="00B54FBE" w:rsidRPr="00AC0422">
        <w:rPr>
          <w:rFonts w:asciiTheme="minorHAnsi" w:hAnsiTheme="minorHAnsi" w:cstheme="minorHAnsi"/>
          <w:szCs w:val="20"/>
        </w:rPr>
        <w:t xml:space="preserve"> </w:t>
      </w:r>
      <w:r w:rsidR="00B54FBE" w:rsidRPr="00AC0422">
        <w:rPr>
          <w:rFonts w:asciiTheme="minorHAnsi" w:eastAsia="Arial" w:hAnsiTheme="minorHAnsi" w:cstheme="minorHAnsi"/>
          <w:color w:val="000000" w:themeColor="text1"/>
          <w:szCs w:val="20"/>
        </w:rPr>
        <w:t>in organizing training events, workshops and meetings</w:t>
      </w:r>
      <w:r w:rsidRPr="00AC0422">
        <w:rPr>
          <w:rFonts w:asciiTheme="minorHAnsi" w:hAnsiTheme="minorHAnsi" w:cstheme="minorHAnsi"/>
          <w:szCs w:val="20"/>
        </w:rPr>
        <w:t>.</w:t>
      </w:r>
    </w:p>
    <w:p w14:paraId="43ACA113" w14:textId="1B342753" w:rsidR="00AA4FA3" w:rsidRPr="00282B2C" w:rsidRDefault="00DA18B9" w:rsidP="005D2C02">
      <w:pPr>
        <w:numPr>
          <w:ilvl w:val="0"/>
          <w:numId w:val="11"/>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 xml:space="preserve">Assist </w:t>
      </w:r>
      <w:r w:rsidR="00743F48">
        <w:rPr>
          <w:rFonts w:asciiTheme="minorHAnsi" w:eastAsia="Arial" w:hAnsiTheme="minorHAnsi" w:cstheme="minorHAnsi"/>
          <w:color w:val="000000" w:themeColor="text1"/>
          <w:szCs w:val="20"/>
        </w:rPr>
        <w:t xml:space="preserve">in recruitment process of experts, consultants, and </w:t>
      </w:r>
      <w:r w:rsidR="00AA4FA3">
        <w:rPr>
          <w:rFonts w:asciiTheme="minorHAnsi" w:eastAsia="Arial" w:hAnsiTheme="minorHAnsi" w:cstheme="minorHAnsi"/>
          <w:color w:val="000000" w:themeColor="text1"/>
          <w:szCs w:val="20"/>
        </w:rPr>
        <w:t xml:space="preserve">in the preparation of their contracts. </w:t>
      </w:r>
    </w:p>
    <w:p w14:paraId="55E49F1D" w14:textId="1E03CD0D" w:rsidR="00DA18B9" w:rsidRPr="00AC0422" w:rsidRDefault="00AA4FA3" w:rsidP="005D2C02">
      <w:pPr>
        <w:numPr>
          <w:ilvl w:val="0"/>
          <w:numId w:val="11"/>
        </w:numPr>
        <w:spacing w:after="0" w:line="256" w:lineRule="auto"/>
        <w:jc w:val="left"/>
        <w:rPr>
          <w:rFonts w:asciiTheme="minorHAnsi" w:hAnsiTheme="minorHAnsi" w:cstheme="minorHAnsi"/>
          <w:szCs w:val="20"/>
        </w:rPr>
      </w:pPr>
      <w:r>
        <w:rPr>
          <w:rFonts w:asciiTheme="minorHAnsi" w:eastAsia="Arial" w:hAnsiTheme="minorHAnsi" w:cstheme="minorHAnsi"/>
          <w:color w:val="000000" w:themeColor="text1"/>
          <w:szCs w:val="20"/>
        </w:rPr>
        <w:t xml:space="preserve">Assist </w:t>
      </w:r>
      <w:r w:rsidR="00DA18B9" w:rsidRPr="00AC0422">
        <w:rPr>
          <w:rFonts w:asciiTheme="minorHAnsi" w:hAnsiTheme="minorHAnsi" w:cstheme="minorHAnsi"/>
          <w:szCs w:val="20"/>
        </w:rPr>
        <w:t>international</w:t>
      </w:r>
      <w:r w:rsidR="00DA18B9" w:rsidRPr="00AC0422">
        <w:rPr>
          <w:rFonts w:asciiTheme="minorHAnsi" w:eastAsia="Arial" w:hAnsiTheme="minorHAnsi" w:cstheme="minorHAnsi"/>
          <w:color w:val="000000" w:themeColor="text1"/>
          <w:szCs w:val="20"/>
        </w:rPr>
        <w:t xml:space="preserve">, short-term consultants by organizing their travel schedules, arranging meetings with different stakeholders; draft necessary correspondence with local and </w:t>
      </w:r>
      <w:r w:rsidR="0067510B">
        <w:rPr>
          <w:rFonts w:asciiTheme="minorHAnsi" w:eastAsia="Arial" w:hAnsiTheme="minorHAnsi" w:cstheme="minorHAnsi"/>
          <w:color w:val="000000" w:themeColor="text1"/>
          <w:szCs w:val="20"/>
        </w:rPr>
        <w:t xml:space="preserve">national </w:t>
      </w:r>
      <w:r w:rsidR="00DA18B9" w:rsidRPr="00AC0422">
        <w:rPr>
          <w:rFonts w:asciiTheme="minorHAnsi" w:eastAsia="Arial" w:hAnsiTheme="minorHAnsi" w:cstheme="minorHAnsi"/>
          <w:color w:val="000000" w:themeColor="text1"/>
          <w:szCs w:val="20"/>
        </w:rPr>
        <w:t xml:space="preserve">agencies and </w:t>
      </w:r>
      <w:proofErr w:type="gramStart"/>
      <w:r w:rsidR="00DA18B9" w:rsidRPr="00AC0422">
        <w:rPr>
          <w:rFonts w:asciiTheme="minorHAnsi" w:eastAsia="Arial" w:hAnsiTheme="minorHAnsi" w:cstheme="minorHAnsi"/>
          <w:color w:val="000000" w:themeColor="text1"/>
          <w:szCs w:val="20"/>
        </w:rPr>
        <w:t>stakeholders;</w:t>
      </w:r>
      <w:proofErr w:type="gramEnd"/>
    </w:p>
    <w:p w14:paraId="494D75DA" w14:textId="29BA27CB" w:rsidR="00DA18B9" w:rsidRPr="00AC0422" w:rsidRDefault="009E43C8" w:rsidP="005D2C02">
      <w:pPr>
        <w:numPr>
          <w:ilvl w:val="0"/>
          <w:numId w:val="11"/>
        </w:numPr>
        <w:spacing w:after="0" w:line="256" w:lineRule="auto"/>
        <w:jc w:val="left"/>
        <w:rPr>
          <w:rFonts w:asciiTheme="minorHAnsi" w:hAnsiTheme="minorHAnsi" w:cstheme="minorHAnsi"/>
          <w:szCs w:val="20"/>
        </w:rPr>
      </w:pPr>
      <w:r>
        <w:rPr>
          <w:rFonts w:asciiTheme="minorHAnsi" w:eastAsia="Arial" w:hAnsiTheme="minorHAnsi" w:cstheme="minorHAnsi"/>
          <w:color w:val="000000" w:themeColor="text1"/>
          <w:szCs w:val="20"/>
        </w:rPr>
        <w:t>A</w:t>
      </w:r>
      <w:r w:rsidR="00DA18B9" w:rsidRPr="00AC0422">
        <w:rPr>
          <w:rFonts w:asciiTheme="minorHAnsi" w:eastAsia="Arial" w:hAnsiTheme="minorHAnsi" w:cstheme="minorHAnsi"/>
          <w:color w:val="000000" w:themeColor="text1"/>
          <w:szCs w:val="20"/>
        </w:rPr>
        <w:t xml:space="preserve">ssist in the timely issuance of contracts and </w:t>
      </w:r>
      <w:r w:rsidR="004160EC">
        <w:rPr>
          <w:rFonts w:asciiTheme="minorHAnsi" w:eastAsia="Arial" w:hAnsiTheme="minorHAnsi" w:cstheme="minorHAnsi"/>
          <w:color w:val="000000" w:themeColor="text1"/>
          <w:szCs w:val="20"/>
        </w:rPr>
        <w:t>issuance</w:t>
      </w:r>
      <w:r w:rsidR="004160EC" w:rsidRPr="00AC0422">
        <w:rPr>
          <w:rFonts w:asciiTheme="minorHAnsi" w:eastAsia="Arial" w:hAnsiTheme="minorHAnsi" w:cstheme="minorHAnsi"/>
          <w:color w:val="000000" w:themeColor="text1"/>
          <w:szCs w:val="20"/>
        </w:rPr>
        <w:t xml:space="preserve"> </w:t>
      </w:r>
      <w:r w:rsidR="00DA18B9" w:rsidRPr="00AC0422">
        <w:rPr>
          <w:rFonts w:asciiTheme="minorHAnsi" w:eastAsia="Arial" w:hAnsiTheme="minorHAnsi" w:cstheme="minorHAnsi"/>
          <w:color w:val="000000" w:themeColor="text1"/>
          <w:szCs w:val="20"/>
        </w:rPr>
        <w:t xml:space="preserve">of other eligible entitlements of the project personnel, experts, and </w:t>
      </w:r>
      <w:proofErr w:type="gramStart"/>
      <w:r w:rsidR="00DA18B9" w:rsidRPr="00AC0422">
        <w:rPr>
          <w:rFonts w:asciiTheme="minorHAnsi" w:eastAsia="Arial" w:hAnsiTheme="minorHAnsi" w:cstheme="minorHAnsi"/>
          <w:color w:val="000000" w:themeColor="text1"/>
          <w:szCs w:val="20"/>
        </w:rPr>
        <w:t>consultants</w:t>
      </w:r>
      <w:r w:rsidR="004160EC">
        <w:rPr>
          <w:rFonts w:asciiTheme="minorHAnsi" w:eastAsia="Arial" w:hAnsiTheme="minorHAnsi" w:cstheme="minorHAnsi"/>
          <w:color w:val="000000" w:themeColor="text1"/>
          <w:szCs w:val="20"/>
        </w:rPr>
        <w:t>;</w:t>
      </w:r>
      <w:proofErr w:type="gramEnd"/>
      <w:r w:rsidR="00DA18B9" w:rsidRPr="00AC0422">
        <w:rPr>
          <w:rFonts w:asciiTheme="minorHAnsi" w:eastAsia="Arial" w:hAnsiTheme="minorHAnsi" w:cstheme="minorHAnsi"/>
          <w:color w:val="000000" w:themeColor="text1"/>
          <w:szCs w:val="20"/>
        </w:rPr>
        <w:t xml:space="preserve"> </w:t>
      </w:r>
    </w:p>
    <w:p w14:paraId="5C2B3BCB" w14:textId="65956F16" w:rsidR="00DA18B9" w:rsidRPr="00AC0422" w:rsidRDefault="00C1070F" w:rsidP="005D2C02">
      <w:pPr>
        <w:numPr>
          <w:ilvl w:val="0"/>
          <w:numId w:val="11"/>
        </w:numPr>
        <w:spacing w:after="0" w:line="256" w:lineRule="auto"/>
        <w:jc w:val="left"/>
        <w:rPr>
          <w:rFonts w:asciiTheme="minorHAnsi" w:hAnsiTheme="minorHAnsi" w:cstheme="minorHAnsi"/>
          <w:szCs w:val="20"/>
        </w:rPr>
      </w:pPr>
      <w:r>
        <w:rPr>
          <w:rFonts w:asciiTheme="minorHAnsi" w:eastAsia="Arial" w:hAnsiTheme="minorHAnsi" w:cstheme="minorHAnsi"/>
          <w:color w:val="000000" w:themeColor="text1"/>
          <w:szCs w:val="20"/>
        </w:rPr>
        <w:t>P</w:t>
      </w:r>
      <w:r w:rsidR="00DA18B9" w:rsidRPr="00AC0422">
        <w:rPr>
          <w:rFonts w:asciiTheme="minorHAnsi" w:eastAsia="Arial" w:hAnsiTheme="minorHAnsi" w:cstheme="minorHAnsi"/>
          <w:color w:val="000000" w:themeColor="text1"/>
          <w:szCs w:val="20"/>
        </w:rPr>
        <w:t xml:space="preserve">repare financial status reports, progress reports, and </w:t>
      </w:r>
      <w:proofErr w:type="gramStart"/>
      <w:r w:rsidR="00DA18B9" w:rsidRPr="00AC0422">
        <w:rPr>
          <w:rFonts w:asciiTheme="minorHAnsi" w:eastAsia="Arial" w:hAnsiTheme="minorHAnsi" w:cstheme="minorHAnsi"/>
          <w:color w:val="000000" w:themeColor="text1"/>
          <w:szCs w:val="20"/>
        </w:rPr>
        <w:t>others;</w:t>
      </w:r>
      <w:proofErr w:type="gramEnd"/>
    </w:p>
    <w:p w14:paraId="2D546909" w14:textId="0A360BDA" w:rsidR="00173FDC" w:rsidRPr="00AC0422" w:rsidRDefault="00DA29BD" w:rsidP="005D2C02">
      <w:pPr>
        <w:numPr>
          <w:ilvl w:val="0"/>
          <w:numId w:val="11"/>
        </w:numPr>
        <w:spacing w:after="0" w:line="256" w:lineRule="auto"/>
        <w:jc w:val="left"/>
        <w:rPr>
          <w:rFonts w:asciiTheme="minorHAnsi" w:hAnsiTheme="minorHAnsi" w:cstheme="minorHAnsi"/>
          <w:szCs w:val="20"/>
        </w:rPr>
      </w:pPr>
      <w:r>
        <w:rPr>
          <w:rFonts w:asciiTheme="minorHAnsi" w:eastAsia="Arial" w:hAnsiTheme="minorHAnsi" w:cstheme="minorHAnsi"/>
          <w:color w:val="000000" w:themeColor="text1"/>
          <w:szCs w:val="20"/>
        </w:rPr>
        <w:t>P</w:t>
      </w:r>
      <w:r w:rsidR="00DA18B9" w:rsidRPr="00AC0422">
        <w:rPr>
          <w:rFonts w:asciiTheme="minorHAnsi" w:eastAsia="Arial" w:hAnsiTheme="minorHAnsi" w:cstheme="minorHAnsi"/>
          <w:color w:val="000000" w:themeColor="text1"/>
          <w:szCs w:val="20"/>
        </w:rPr>
        <w:t xml:space="preserve">rovide other substantive support to the team for overall </w:t>
      </w:r>
      <w:proofErr w:type="gramStart"/>
      <w:r w:rsidR="00DA18B9" w:rsidRPr="00AC0422">
        <w:rPr>
          <w:rFonts w:asciiTheme="minorHAnsi" w:eastAsia="Arial" w:hAnsiTheme="minorHAnsi" w:cstheme="minorHAnsi"/>
          <w:color w:val="000000" w:themeColor="text1"/>
          <w:szCs w:val="20"/>
        </w:rPr>
        <w:t>implementation</w:t>
      </w:r>
      <w:r w:rsidR="004460A6">
        <w:rPr>
          <w:rFonts w:asciiTheme="minorHAnsi" w:eastAsia="Arial" w:hAnsiTheme="minorHAnsi" w:cstheme="minorHAnsi"/>
          <w:color w:val="000000" w:themeColor="text1"/>
          <w:szCs w:val="20"/>
        </w:rPr>
        <w:t>;</w:t>
      </w:r>
      <w:proofErr w:type="gramEnd"/>
    </w:p>
    <w:p w14:paraId="1090974C" w14:textId="77777777" w:rsidR="004460A6" w:rsidRDefault="004460A6" w:rsidP="00173FDC">
      <w:pPr>
        <w:spacing w:after="0"/>
        <w:rPr>
          <w:rFonts w:asciiTheme="minorHAnsi" w:hAnsiTheme="minorHAnsi" w:cstheme="minorHAnsi"/>
          <w:szCs w:val="20"/>
        </w:rPr>
      </w:pPr>
    </w:p>
    <w:p w14:paraId="1A4E5018" w14:textId="5E80DC4E" w:rsidR="00173FDC" w:rsidRPr="00AC0422" w:rsidRDefault="00173FDC" w:rsidP="00173FDC">
      <w:pPr>
        <w:spacing w:after="0"/>
        <w:rPr>
          <w:rFonts w:asciiTheme="minorHAnsi" w:hAnsiTheme="minorHAnsi" w:cstheme="minorHAnsi"/>
          <w:szCs w:val="20"/>
        </w:rPr>
      </w:pPr>
      <w:r w:rsidRPr="00AC0422">
        <w:rPr>
          <w:rFonts w:asciiTheme="minorHAnsi" w:hAnsiTheme="minorHAnsi" w:cstheme="minorHAnsi"/>
          <w:szCs w:val="20"/>
        </w:rPr>
        <w:t>The Project A</w:t>
      </w:r>
      <w:r w:rsidR="00E8149A" w:rsidRPr="00AC0422">
        <w:rPr>
          <w:rFonts w:asciiTheme="minorHAnsi" w:hAnsiTheme="minorHAnsi" w:cstheme="minorHAnsi"/>
          <w:szCs w:val="20"/>
        </w:rPr>
        <w:t>dministrative and Financial Assistant</w:t>
      </w:r>
      <w:r w:rsidRPr="00AC0422">
        <w:rPr>
          <w:rFonts w:asciiTheme="minorHAnsi" w:hAnsiTheme="minorHAnsi" w:cstheme="minorHAnsi"/>
          <w:szCs w:val="20"/>
        </w:rPr>
        <w:t xml:space="preserve"> will be recruited based on the following qualifications:</w:t>
      </w:r>
    </w:p>
    <w:p w14:paraId="496369AE" w14:textId="0C9A455E" w:rsidR="00173FDC" w:rsidRPr="00AC0422" w:rsidRDefault="00173FDC" w:rsidP="005D2C02">
      <w:pPr>
        <w:numPr>
          <w:ilvl w:val="0"/>
          <w:numId w:val="12"/>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A </w:t>
      </w:r>
      <w:proofErr w:type="gramStart"/>
      <w:r w:rsidR="00887454" w:rsidRPr="00AC0422">
        <w:rPr>
          <w:rFonts w:asciiTheme="minorHAnsi" w:hAnsiTheme="minorHAnsi" w:cstheme="minorHAnsi"/>
          <w:szCs w:val="20"/>
        </w:rPr>
        <w:t>Bachelor’s</w:t>
      </w:r>
      <w:proofErr w:type="gramEnd"/>
      <w:r w:rsidRPr="00AC0422">
        <w:rPr>
          <w:rFonts w:asciiTheme="minorHAnsi" w:hAnsiTheme="minorHAnsi" w:cstheme="minorHAnsi"/>
          <w:szCs w:val="20"/>
        </w:rPr>
        <w:t xml:space="preserve"> degree or an advanced diploma in accounting/ financial </w:t>
      </w:r>
      <w:proofErr w:type="gramStart"/>
      <w:r w:rsidRPr="00AC0422">
        <w:rPr>
          <w:rFonts w:asciiTheme="minorHAnsi" w:hAnsiTheme="minorHAnsi" w:cstheme="minorHAnsi"/>
          <w:szCs w:val="20"/>
        </w:rPr>
        <w:t>management;</w:t>
      </w:r>
      <w:proofErr w:type="gramEnd"/>
    </w:p>
    <w:p w14:paraId="05DA2490" w14:textId="77777777" w:rsidR="00173FDC" w:rsidRPr="00AC0422" w:rsidRDefault="00173FDC" w:rsidP="005D2C02">
      <w:pPr>
        <w:numPr>
          <w:ilvl w:val="0"/>
          <w:numId w:val="12"/>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At least five years of relevant work experience preferably in a project management setting involving multi-lateral/ international funding agency. Previous experience with UNDP or UN project will be a definite </w:t>
      </w:r>
      <w:proofErr w:type="gramStart"/>
      <w:r w:rsidRPr="00AC0422">
        <w:rPr>
          <w:rFonts w:asciiTheme="minorHAnsi" w:hAnsiTheme="minorHAnsi" w:cstheme="minorHAnsi"/>
          <w:szCs w:val="20"/>
        </w:rPr>
        <w:t>asset;</w:t>
      </w:r>
      <w:proofErr w:type="gramEnd"/>
    </w:p>
    <w:p w14:paraId="1CB94E74" w14:textId="77777777" w:rsidR="00173FDC" w:rsidRPr="00AC0422" w:rsidRDefault="00173FDC" w:rsidP="005D2C02">
      <w:pPr>
        <w:numPr>
          <w:ilvl w:val="0"/>
          <w:numId w:val="12"/>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Proficiency in the use of computer software applications particularly MS </w:t>
      </w:r>
      <w:proofErr w:type="gramStart"/>
      <w:r w:rsidRPr="00AC0422">
        <w:rPr>
          <w:rFonts w:asciiTheme="minorHAnsi" w:hAnsiTheme="minorHAnsi" w:cstheme="minorHAnsi"/>
          <w:szCs w:val="20"/>
        </w:rPr>
        <w:t>Excel;</w:t>
      </w:r>
      <w:proofErr w:type="gramEnd"/>
    </w:p>
    <w:p w14:paraId="0C037D14" w14:textId="045A8DBE" w:rsidR="00173FDC" w:rsidRPr="00AC0422" w:rsidRDefault="00173FDC" w:rsidP="005D2C02">
      <w:pPr>
        <w:numPr>
          <w:ilvl w:val="0"/>
          <w:numId w:val="12"/>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Excellent language skills in English (writing, speaking and reading) and in </w:t>
      </w:r>
      <w:r w:rsidR="00D37938">
        <w:rPr>
          <w:rFonts w:asciiTheme="minorHAnsi" w:hAnsiTheme="minorHAnsi" w:cstheme="minorHAnsi"/>
          <w:szCs w:val="20"/>
        </w:rPr>
        <w:t xml:space="preserve">Arabic as well. </w:t>
      </w:r>
      <w:r w:rsidRPr="00AC0422">
        <w:rPr>
          <w:rFonts w:asciiTheme="minorHAnsi" w:hAnsiTheme="minorHAnsi" w:cstheme="minorHAnsi"/>
          <w:szCs w:val="20"/>
        </w:rPr>
        <w:t xml:space="preserve"> </w:t>
      </w:r>
    </w:p>
    <w:p w14:paraId="7CE21FEF" w14:textId="77777777" w:rsidR="00173FDC" w:rsidRPr="00AC0422" w:rsidRDefault="00173FDC" w:rsidP="00173FDC">
      <w:pPr>
        <w:spacing w:after="0"/>
        <w:rPr>
          <w:rFonts w:asciiTheme="minorHAnsi" w:hAnsiTheme="minorHAnsi" w:cstheme="minorHAnsi"/>
          <w:szCs w:val="20"/>
        </w:rPr>
      </w:pPr>
    </w:p>
    <w:p w14:paraId="09F01275" w14:textId="7631B961" w:rsidR="00173FDC" w:rsidRPr="00AC0422" w:rsidRDefault="00173FDC" w:rsidP="00173FDC">
      <w:pPr>
        <w:spacing w:after="0"/>
        <w:rPr>
          <w:rFonts w:asciiTheme="minorHAnsi" w:hAnsiTheme="minorHAnsi" w:cstheme="minorHAnsi"/>
          <w:b/>
          <w:szCs w:val="20"/>
        </w:rPr>
      </w:pPr>
      <w:r w:rsidRPr="00AC0422">
        <w:rPr>
          <w:rFonts w:asciiTheme="minorHAnsi" w:hAnsiTheme="minorHAnsi" w:cstheme="minorHAnsi"/>
          <w:b/>
          <w:szCs w:val="20"/>
        </w:rPr>
        <w:t xml:space="preserve">Project Communication </w:t>
      </w:r>
      <w:r w:rsidR="00E8149A" w:rsidRPr="00AC0422">
        <w:rPr>
          <w:rFonts w:asciiTheme="minorHAnsi" w:hAnsiTheme="minorHAnsi" w:cstheme="minorHAnsi"/>
          <w:b/>
          <w:szCs w:val="20"/>
        </w:rPr>
        <w:t xml:space="preserve">and Knowledge Management Specialist </w:t>
      </w:r>
    </w:p>
    <w:p w14:paraId="32E75BEC" w14:textId="77777777" w:rsidR="00ED2D1A" w:rsidRDefault="00173FDC" w:rsidP="00173FDC">
      <w:pPr>
        <w:spacing w:after="0"/>
        <w:rPr>
          <w:rFonts w:asciiTheme="minorHAnsi" w:hAnsiTheme="minorHAnsi" w:cstheme="minorHAnsi"/>
          <w:szCs w:val="20"/>
        </w:rPr>
      </w:pPr>
      <w:r w:rsidRPr="00AC0422">
        <w:rPr>
          <w:rFonts w:asciiTheme="minorHAnsi" w:hAnsiTheme="minorHAnsi" w:cstheme="minorHAnsi"/>
          <w:szCs w:val="20"/>
        </w:rPr>
        <w:t>Under the overall supervision and guidance of the Project Manager, the Communication</w:t>
      </w:r>
      <w:r w:rsidR="00E8149A" w:rsidRPr="00AC0422">
        <w:rPr>
          <w:rFonts w:asciiTheme="minorHAnsi" w:hAnsiTheme="minorHAnsi" w:cstheme="minorHAnsi"/>
          <w:szCs w:val="20"/>
        </w:rPr>
        <w:t xml:space="preserve"> and Knowledge Management Specialist</w:t>
      </w:r>
      <w:r w:rsidRPr="00AC0422">
        <w:rPr>
          <w:rFonts w:asciiTheme="minorHAnsi" w:hAnsiTheme="minorHAnsi" w:cstheme="minorHAnsi"/>
          <w:szCs w:val="20"/>
        </w:rPr>
        <w:t xml:space="preserve"> will have the responsibility for leading knowledge management outputs in Component 4 and developing the project communications strategy at the project outset and coordinating its implementation across all project components. The Communication</w:t>
      </w:r>
      <w:r w:rsidR="00E8149A" w:rsidRPr="00AC0422">
        <w:rPr>
          <w:rFonts w:asciiTheme="minorHAnsi" w:hAnsiTheme="minorHAnsi" w:cstheme="minorHAnsi"/>
          <w:szCs w:val="20"/>
        </w:rPr>
        <w:t xml:space="preserve"> and Knowledge Management Specialist</w:t>
      </w:r>
      <w:r w:rsidRPr="00AC0422">
        <w:rPr>
          <w:rFonts w:asciiTheme="minorHAnsi" w:hAnsiTheme="minorHAnsi" w:cstheme="minorHAnsi"/>
          <w:szCs w:val="20"/>
        </w:rPr>
        <w:t xml:space="preserve"> will work closely with the M&amp;E </w:t>
      </w:r>
      <w:r w:rsidR="00473473" w:rsidRPr="00AC0422">
        <w:rPr>
          <w:rFonts w:asciiTheme="minorHAnsi" w:hAnsiTheme="minorHAnsi" w:cstheme="minorHAnsi"/>
          <w:szCs w:val="20"/>
        </w:rPr>
        <w:t>Expert</w:t>
      </w:r>
      <w:r w:rsidRPr="00AC0422">
        <w:rPr>
          <w:rFonts w:asciiTheme="minorHAnsi" w:hAnsiTheme="minorHAnsi" w:cstheme="minorHAnsi"/>
          <w:szCs w:val="20"/>
        </w:rPr>
        <w:t xml:space="preserve"> on knowledge management aspects of the project. </w:t>
      </w:r>
    </w:p>
    <w:p w14:paraId="5A00C514" w14:textId="552CCDFE" w:rsidR="00173FDC" w:rsidRPr="00AC0422" w:rsidRDefault="00173FDC" w:rsidP="00173FDC">
      <w:pPr>
        <w:spacing w:after="0"/>
        <w:rPr>
          <w:rFonts w:asciiTheme="minorHAnsi" w:hAnsiTheme="minorHAnsi" w:cstheme="minorHAnsi"/>
          <w:szCs w:val="20"/>
        </w:rPr>
      </w:pPr>
      <w:r w:rsidRPr="00AC0422">
        <w:rPr>
          <w:rFonts w:asciiTheme="minorHAnsi" w:hAnsiTheme="minorHAnsi" w:cstheme="minorHAnsi"/>
          <w:szCs w:val="20"/>
        </w:rPr>
        <w:t>Specific responsibilities will include:</w:t>
      </w:r>
    </w:p>
    <w:p w14:paraId="6A958168" w14:textId="22D794B3" w:rsidR="00173FDC" w:rsidRPr="00AC0422" w:rsidRDefault="00173FDC" w:rsidP="005D2C02">
      <w:pPr>
        <w:numPr>
          <w:ilvl w:val="0"/>
          <w:numId w:val="13"/>
        </w:numPr>
        <w:spacing w:after="0" w:line="256" w:lineRule="auto"/>
        <w:jc w:val="left"/>
        <w:rPr>
          <w:rFonts w:asciiTheme="minorHAnsi" w:hAnsiTheme="minorHAnsi" w:cstheme="minorHAnsi"/>
          <w:szCs w:val="20"/>
        </w:rPr>
      </w:pPr>
      <w:r w:rsidRPr="00AC0422">
        <w:rPr>
          <w:rFonts w:asciiTheme="minorHAnsi" w:hAnsiTheme="minorHAnsi" w:cstheme="minorHAnsi"/>
          <w:szCs w:val="20"/>
        </w:rPr>
        <w:t>Develop a project communications strategy / plan</w:t>
      </w:r>
      <w:r w:rsidR="004F66E5" w:rsidRPr="00AC0422">
        <w:rPr>
          <w:rFonts w:asciiTheme="minorHAnsi" w:eastAsia="Arial" w:hAnsiTheme="minorHAnsi" w:cstheme="minorHAnsi"/>
          <w:color w:val="000000" w:themeColor="text1"/>
          <w:szCs w:val="20"/>
        </w:rPr>
        <w:t xml:space="preserve"> which will target civil society organizations and the private sector at national level and in the priority provinces of </w:t>
      </w:r>
      <w:r w:rsidR="00ED2D1A">
        <w:rPr>
          <w:rFonts w:asciiTheme="minorHAnsi" w:eastAsia="Arial" w:hAnsiTheme="minorHAnsi" w:cstheme="minorHAnsi"/>
          <w:color w:val="000000" w:themeColor="text1"/>
          <w:szCs w:val="20"/>
        </w:rPr>
        <w:t>Yemen</w:t>
      </w:r>
      <w:r w:rsidRPr="00AC0422">
        <w:rPr>
          <w:rFonts w:asciiTheme="minorHAnsi" w:hAnsiTheme="minorHAnsi" w:cstheme="minorHAnsi"/>
          <w:szCs w:val="20"/>
        </w:rPr>
        <w:t>, incorporate it with the annual work plans and update it annually in consultation with project stakeholders</w:t>
      </w:r>
      <w:r w:rsidR="00664199">
        <w:rPr>
          <w:rFonts w:asciiTheme="minorHAnsi" w:hAnsiTheme="minorHAnsi" w:cstheme="minorHAnsi"/>
          <w:szCs w:val="20"/>
        </w:rPr>
        <w:t xml:space="preserve"> and </w:t>
      </w:r>
      <w:r w:rsidRPr="00AC0422">
        <w:rPr>
          <w:rFonts w:asciiTheme="minorHAnsi" w:hAnsiTheme="minorHAnsi" w:cstheme="minorHAnsi"/>
          <w:szCs w:val="20"/>
        </w:rPr>
        <w:t xml:space="preserve">coordinate its </w:t>
      </w:r>
      <w:proofErr w:type="gramStart"/>
      <w:r w:rsidRPr="00AC0422">
        <w:rPr>
          <w:rFonts w:asciiTheme="minorHAnsi" w:hAnsiTheme="minorHAnsi" w:cstheme="minorHAnsi"/>
          <w:szCs w:val="20"/>
        </w:rPr>
        <w:t>implementation</w:t>
      </w:r>
      <w:r w:rsidR="00664199">
        <w:rPr>
          <w:rFonts w:asciiTheme="minorHAnsi" w:hAnsiTheme="minorHAnsi" w:cstheme="minorHAnsi"/>
          <w:szCs w:val="20"/>
        </w:rPr>
        <w:t>;</w:t>
      </w:r>
      <w:proofErr w:type="gramEnd"/>
    </w:p>
    <w:p w14:paraId="04925744" w14:textId="391A77CE" w:rsidR="00173FDC" w:rsidRPr="00AC0422" w:rsidRDefault="00173FDC" w:rsidP="005D2C02">
      <w:pPr>
        <w:numPr>
          <w:ilvl w:val="0"/>
          <w:numId w:val="13"/>
        </w:numPr>
        <w:spacing w:after="0" w:line="256" w:lineRule="auto"/>
        <w:jc w:val="left"/>
        <w:rPr>
          <w:rFonts w:asciiTheme="minorHAnsi" w:hAnsiTheme="minorHAnsi" w:cstheme="minorHAnsi"/>
          <w:szCs w:val="20"/>
        </w:rPr>
      </w:pPr>
      <w:r w:rsidRPr="00AC0422">
        <w:rPr>
          <w:rFonts w:asciiTheme="minorHAnsi" w:hAnsiTheme="minorHAnsi" w:cstheme="minorHAnsi"/>
          <w:szCs w:val="20"/>
        </w:rPr>
        <w:lastRenderedPageBreak/>
        <w:t>Coordinate the implementation of knowledge management outputs of the project;</w:t>
      </w:r>
      <w:r w:rsidR="004F66E5" w:rsidRPr="00AC0422">
        <w:rPr>
          <w:rFonts w:asciiTheme="minorHAnsi" w:eastAsia="Arial" w:hAnsiTheme="minorHAnsi" w:cstheme="minorHAnsi"/>
          <w:color w:val="000000" w:themeColor="text1"/>
          <w:szCs w:val="20"/>
        </w:rPr>
        <w:t xml:space="preserve"> identify case studies demonstrating the link between building adaptation capacity and reducing vulnerability (i.e. reflecting the overall NAP objectives</w:t>
      </w:r>
      <w:proofErr w:type="gramStart"/>
      <w:r w:rsidR="004F66E5" w:rsidRPr="00AC0422">
        <w:rPr>
          <w:rFonts w:asciiTheme="minorHAnsi" w:eastAsia="Arial" w:hAnsiTheme="minorHAnsi" w:cstheme="minorHAnsi"/>
          <w:color w:val="000000" w:themeColor="text1"/>
          <w:szCs w:val="20"/>
        </w:rPr>
        <w:t>);</w:t>
      </w:r>
      <w:proofErr w:type="gramEnd"/>
    </w:p>
    <w:p w14:paraId="7D2A6F11" w14:textId="77777777" w:rsidR="00173FDC" w:rsidRPr="00AC0422" w:rsidRDefault="00173FDC" w:rsidP="005D2C02">
      <w:pPr>
        <w:numPr>
          <w:ilvl w:val="0"/>
          <w:numId w:val="13"/>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Coordinate and oversee the implementation of public awareness activities across all project </w:t>
      </w:r>
      <w:proofErr w:type="gramStart"/>
      <w:r w:rsidRPr="00AC0422">
        <w:rPr>
          <w:rFonts w:asciiTheme="minorHAnsi" w:hAnsiTheme="minorHAnsi" w:cstheme="minorHAnsi"/>
          <w:szCs w:val="20"/>
        </w:rPr>
        <w:t>components;</w:t>
      </w:r>
      <w:proofErr w:type="gramEnd"/>
    </w:p>
    <w:p w14:paraId="5FF3D530" w14:textId="77777777" w:rsidR="00173FDC" w:rsidRPr="00AC0422" w:rsidRDefault="00173FDC" w:rsidP="005D2C02">
      <w:pPr>
        <w:numPr>
          <w:ilvl w:val="0"/>
          <w:numId w:val="13"/>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Facilitate the design and maintenance of the project website/webpages and ensure it is up-to-date and </w:t>
      </w:r>
      <w:proofErr w:type="gramStart"/>
      <w:r w:rsidRPr="00AC0422">
        <w:rPr>
          <w:rFonts w:asciiTheme="minorHAnsi" w:hAnsiTheme="minorHAnsi" w:cstheme="minorHAnsi"/>
          <w:szCs w:val="20"/>
        </w:rPr>
        <w:t>dynamic;</w:t>
      </w:r>
      <w:proofErr w:type="gramEnd"/>
    </w:p>
    <w:p w14:paraId="28466F93" w14:textId="77777777" w:rsidR="00173FDC" w:rsidRPr="00AC0422" w:rsidRDefault="00173FDC" w:rsidP="005D2C02">
      <w:pPr>
        <w:numPr>
          <w:ilvl w:val="0"/>
          <w:numId w:val="13"/>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Facilitate learning and sharing of knowledge and experiences relevant to the </w:t>
      </w:r>
      <w:proofErr w:type="gramStart"/>
      <w:r w:rsidRPr="00AC0422">
        <w:rPr>
          <w:rFonts w:asciiTheme="minorHAnsi" w:hAnsiTheme="minorHAnsi" w:cstheme="minorHAnsi"/>
          <w:szCs w:val="20"/>
        </w:rPr>
        <w:t>project;</w:t>
      </w:r>
      <w:proofErr w:type="gramEnd"/>
    </w:p>
    <w:p w14:paraId="790755A3" w14:textId="62B1319B"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hAnsiTheme="minorHAnsi" w:cstheme="minorHAnsi"/>
          <w:szCs w:val="20"/>
        </w:rPr>
        <w:t>Design</w:t>
      </w:r>
      <w:r w:rsidRPr="00AC0422">
        <w:rPr>
          <w:rFonts w:asciiTheme="minorHAnsi" w:eastAsia="Arial" w:hAnsiTheme="minorHAnsi" w:cstheme="minorHAnsi"/>
          <w:color w:val="000000" w:themeColor="text1"/>
          <w:szCs w:val="20"/>
        </w:rPr>
        <w:t xml:space="preserve"> inception workshop information and </w:t>
      </w:r>
      <w:proofErr w:type="gramStart"/>
      <w:r w:rsidRPr="00AC0422">
        <w:rPr>
          <w:rFonts w:asciiTheme="minorHAnsi" w:eastAsia="Arial" w:hAnsiTheme="minorHAnsi" w:cstheme="minorHAnsi"/>
          <w:color w:val="000000" w:themeColor="text1"/>
          <w:szCs w:val="20"/>
        </w:rPr>
        <w:t>booklets;</w:t>
      </w:r>
      <w:proofErr w:type="gramEnd"/>
    </w:p>
    <w:p w14:paraId="1C6FB885" w14:textId="38E1F626"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 xml:space="preserve">Work with the project team and country teams to collect best practices and lessons learned related to the NAP </w:t>
      </w:r>
      <w:proofErr w:type="gramStart"/>
      <w:r w:rsidRPr="00AC0422">
        <w:rPr>
          <w:rFonts w:asciiTheme="minorHAnsi" w:eastAsia="Arial" w:hAnsiTheme="minorHAnsi" w:cstheme="minorHAnsi"/>
          <w:color w:val="000000" w:themeColor="text1"/>
          <w:szCs w:val="20"/>
        </w:rPr>
        <w:t>process</w:t>
      </w:r>
      <w:r w:rsidR="00664199">
        <w:rPr>
          <w:rFonts w:asciiTheme="minorHAnsi" w:eastAsia="Arial" w:hAnsiTheme="minorHAnsi" w:cstheme="minorHAnsi"/>
          <w:color w:val="000000" w:themeColor="text1"/>
          <w:szCs w:val="20"/>
        </w:rPr>
        <w:t>;</w:t>
      </w:r>
      <w:proofErr w:type="gramEnd"/>
    </w:p>
    <w:p w14:paraId="4385A514" w14:textId="6CF92CBF"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Disseminate through appropriate channels (not exclusive to the NAP platform</w:t>
      </w:r>
      <w:proofErr w:type="gramStart"/>
      <w:r w:rsidRPr="00AC0422">
        <w:rPr>
          <w:rFonts w:asciiTheme="minorHAnsi" w:eastAsia="Arial" w:hAnsiTheme="minorHAnsi" w:cstheme="minorHAnsi"/>
          <w:color w:val="000000" w:themeColor="text1"/>
          <w:szCs w:val="20"/>
        </w:rPr>
        <w:t>);</w:t>
      </w:r>
      <w:proofErr w:type="gramEnd"/>
    </w:p>
    <w:p w14:paraId="2B80CD2B" w14:textId="18D5512D"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 xml:space="preserve">Support the development of outreach activities such as flyers on climate change impacts, trainings for community radios </w:t>
      </w:r>
      <w:proofErr w:type="gramStart"/>
      <w:r w:rsidRPr="00AC0422">
        <w:rPr>
          <w:rFonts w:asciiTheme="minorHAnsi" w:eastAsia="Arial" w:hAnsiTheme="minorHAnsi" w:cstheme="minorHAnsi"/>
          <w:color w:val="000000" w:themeColor="text1"/>
          <w:szCs w:val="20"/>
        </w:rPr>
        <w:t>etc.;</w:t>
      </w:r>
      <w:proofErr w:type="gramEnd"/>
    </w:p>
    <w:p w14:paraId="602C4512" w14:textId="5FC13E53"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 xml:space="preserve">Develop print, web-based and video products detailing case </w:t>
      </w:r>
      <w:proofErr w:type="gramStart"/>
      <w:r w:rsidRPr="00AC0422">
        <w:rPr>
          <w:rFonts w:asciiTheme="minorHAnsi" w:eastAsia="Arial" w:hAnsiTheme="minorHAnsi" w:cstheme="minorHAnsi"/>
          <w:color w:val="000000" w:themeColor="text1"/>
          <w:szCs w:val="20"/>
        </w:rPr>
        <w:t>studies;</w:t>
      </w:r>
      <w:proofErr w:type="gramEnd"/>
    </w:p>
    <w:p w14:paraId="218E4CED" w14:textId="56078318"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 xml:space="preserve">Be responsible for documenting trainings, meetings, and outreach sessions through video and photo, provide summaries, and develop web based and print products detailing </w:t>
      </w:r>
      <w:proofErr w:type="gramStart"/>
      <w:r w:rsidRPr="00AC0422">
        <w:rPr>
          <w:rFonts w:asciiTheme="minorHAnsi" w:eastAsia="Arial" w:hAnsiTheme="minorHAnsi" w:cstheme="minorHAnsi"/>
          <w:color w:val="000000" w:themeColor="text1"/>
          <w:szCs w:val="20"/>
        </w:rPr>
        <w:t>meetings;</w:t>
      </w:r>
      <w:proofErr w:type="gramEnd"/>
    </w:p>
    <w:p w14:paraId="62738B80" w14:textId="74D302C2"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 xml:space="preserve">Provide graphic design and type-setting assistance for printed products such as project document, flyers, posters, policy briefs, and annual </w:t>
      </w:r>
      <w:proofErr w:type="gramStart"/>
      <w:r w:rsidRPr="00AC0422">
        <w:rPr>
          <w:rFonts w:asciiTheme="minorHAnsi" w:eastAsia="Arial" w:hAnsiTheme="minorHAnsi" w:cstheme="minorHAnsi"/>
          <w:color w:val="000000" w:themeColor="text1"/>
          <w:szCs w:val="20"/>
        </w:rPr>
        <w:t>reports;</w:t>
      </w:r>
      <w:proofErr w:type="gramEnd"/>
    </w:p>
    <w:p w14:paraId="1879D765" w14:textId="41372BA4" w:rsidR="004F66E5"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 xml:space="preserve">Work with communications staff at the regional hub to draft and publish content for the Adaptation </w:t>
      </w:r>
      <w:proofErr w:type="gramStart"/>
      <w:r w:rsidRPr="00AC0422">
        <w:rPr>
          <w:rFonts w:asciiTheme="minorHAnsi" w:eastAsia="Arial" w:hAnsiTheme="minorHAnsi" w:cstheme="minorHAnsi"/>
          <w:color w:val="000000" w:themeColor="text1"/>
          <w:szCs w:val="20"/>
        </w:rPr>
        <w:t>website;</w:t>
      </w:r>
      <w:proofErr w:type="gramEnd"/>
    </w:p>
    <w:p w14:paraId="31332BC7" w14:textId="7BAA5B73" w:rsidR="00173FDC" w:rsidRPr="00AC0422" w:rsidRDefault="004F66E5" w:rsidP="005D2C02">
      <w:pPr>
        <w:numPr>
          <w:ilvl w:val="0"/>
          <w:numId w:val="13"/>
        </w:numPr>
        <w:spacing w:after="0" w:line="256" w:lineRule="auto"/>
        <w:jc w:val="left"/>
        <w:rPr>
          <w:rFonts w:asciiTheme="minorHAnsi" w:hAnsiTheme="minorHAnsi" w:cstheme="minorHAnsi"/>
          <w:szCs w:val="20"/>
        </w:rPr>
      </w:pPr>
      <w:r w:rsidRPr="00AC0422">
        <w:rPr>
          <w:rFonts w:asciiTheme="minorHAnsi" w:eastAsia="Arial" w:hAnsiTheme="minorHAnsi" w:cstheme="minorHAnsi"/>
          <w:color w:val="000000" w:themeColor="text1"/>
          <w:szCs w:val="20"/>
        </w:rPr>
        <w:t>Maintain social media updates on the project in conjunction with the CO Communications staff.</w:t>
      </w:r>
    </w:p>
    <w:p w14:paraId="7668EF05" w14:textId="77777777" w:rsidR="00345CB1" w:rsidRDefault="00345CB1" w:rsidP="00173FDC">
      <w:pPr>
        <w:spacing w:after="0"/>
        <w:rPr>
          <w:rFonts w:asciiTheme="minorHAnsi" w:hAnsiTheme="minorHAnsi" w:cstheme="minorHAnsi"/>
          <w:szCs w:val="20"/>
        </w:rPr>
      </w:pPr>
    </w:p>
    <w:p w14:paraId="13232ED0" w14:textId="4602D9C3" w:rsidR="00173FDC" w:rsidRPr="00AC0422" w:rsidRDefault="00173FDC" w:rsidP="00173FDC">
      <w:pPr>
        <w:spacing w:after="0"/>
        <w:rPr>
          <w:rFonts w:asciiTheme="minorHAnsi" w:hAnsiTheme="minorHAnsi" w:cstheme="minorHAnsi"/>
          <w:szCs w:val="20"/>
        </w:rPr>
      </w:pPr>
      <w:r w:rsidRPr="00AC0422">
        <w:rPr>
          <w:rFonts w:asciiTheme="minorHAnsi" w:hAnsiTheme="minorHAnsi" w:cstheme="minorHAnsi"/>
          <w:szCs w:val="20"/>
        </w:rPr>
        <w:t>The Project Communication</w:t>
      </w:r>
      <w:r w:rsidR="00E8149A" w:rsidRPr="00AC0422">
        <w:rPr>
          <w:rFonts w:asciiTheme="minorHAnsi" w:hAnsiTheme="minorHAnsi" w:cstheme="minorHAnsi"/>
          <w:szCs w:val="20"/>
        </w:rPr>
        <w:t xml:space="preserve"> and Knowledge Management Specialist</w:t>
      </w:r>
      <w:r w:rsidRPr="00AC0422">
        <w:rPr>
          <w:rFonts w:asciiTheme="minorHAnsi" w:hAnsiTheme="minorHAnsi" w:cstheme="minorHAnsi"/>
          <w:szCs w:val="20"/>
        </w:rPr>
        <w:t xml:space="preserve"> will be recruited based on the following qualifications:</w:t>
      </w:r>
    </w:p>
    <w:p w14:paraId="47C799E9" w14:textId="77777777" w:rsidR="00173FDC" w:rsidRPr="00AC0422" w:rsidRDefault="00173FDC" w:rsidP="005D2C02">
      <w:pPr>
        <w:numPr>
          <w:ilvl w:val="0"/>
          <w:numId w:val="14"/>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A </w:t>
      </w:r>
      <w:proofErr w:type="gramStart"/>
      <w:r w:rsidRPr="00AC0422">
        <w:rPr>
          <w:rFonts w:asciiTheme="minorHAnsi" w:hAnsiTheme="minorHAnsi" w:cstheme="minorHAnsi"/>
          <w:szCs w:val="20"/>
        </w:rPr>
        <w:t>Bachelor’s</w:t>
      </w:r>
      <w:proofErr w:type="gramEnd"/>
      <w:r w:rsidRPr="00AC0422">
        <w:rPr>
          <w:rFonts w:asciiTheme="minorHAnsi" w:hAnsiTheme="minorHAnsi" w:cstheme="minorHAnsi"/>
          <w:szCs w:val="20"/>
        </w:rPr>
        <w:t xml:space="preserve"> degree, preferably in the field of community development or natural resource / environmental </w:t>
      </w:r>
      <w:proofErr w:type="gramStart"/>
      <w:r w:rsidRPr="00AC0422">
        <w:rPr>
          <w:rFonts w:asciiTheme="minorHAnsi" w:hAnsiTheme="minorHAnsi" w:cstheme="minorHAnsi"/>
          <w:szCs w:val="20"/>
        </w:rPr>
        <w:t>management;</w:t>
      </w:r>
      <w:proofErr w:type="gramEnd"/>
      <w:r w:rsidRPr="00AC0422">
        <w:rPr>
          <w:rFonts w:asciiTheme="minorHAnsi" w:hAnsiTheme="minorHAnsi" w:cstheme="minorHAnsi"/>
          <w:szCs w:val="20"/>
        </w:rPr>
        <w:t xml:space="preserve"> </w:t>
      </w:r>
    </w:p>
    <w:p w14:paraId="4F6849E6" w14:textId="77777777" w:rsidR="00173FDC" w:rsidRPr="00AC0422" w:rsidRDefault="00173FDC" w:rsidP="005D2C02">
      <w:pPr>
        <w:numPr>
          <w:ilvl w:val="0"/>
          <w:numId w:val="14"/>
        </w:numPr>
        <w:spacing w:after="0" w:line="256" w:lineRule="auto"/>
        <w:jc w:val="left"/>
        <w:rPr>
          <w:rFonts w:asciiTheme="minorHAnsi" w:hAnsiTheme="minorHAnsi" w:cstheme="minorHAnsi"/>
          <w:szCs w:val="20"/>
          <w:lang w:val="fr-FR"/>
        </w:rPr>
      </w:pPr>
      <w:r w:rsidRPr="00AC0422">
        <w:rPr>
          <w:rFonts w:asciiTheme="minorHAnsi" w:hAnsiTheme="minorHAnsi" w:cstheme="minorHAnsi"/>
          <w:szCs w:val="20"/>
          <w:lang w:val="fr-FR"/>
        </w:rPr>
        <w:t>A communications qualification (</w:t>
      </w:r>
      <w:proofErr w:type="spellStart"/>
      <w:r w:rsidRPr="00AC0422">
        <w:rPr>
          <w:rFonts w:asciiTheme="minorHAnsi" w:hAnsiTheme="minorHAnsi" w:cstheme="minorHAnsi"/>
          <w:szCs w:val="20"/>
          <w:lang w:val="fr-FR"/>
        </w:rPr>
        <w:t>diploma</w:t>
      </w:r>
      <w:proofErr w:type="spellEnd"/>
      <w:r w:rsidRPr="00AC0422">
        <w:rPr>
          <w:rFonts w:asciiTheme="minorHAnsi" w:hAnsiTheme="minorHAnsi" w:cstheme="minorHAnsi"/>
          <w:szCs w:val="20"/>
          <w:lang w:val="fr-FR"/>
        </w:rPr>
        <w:t xml:space="preserve">, </w:t>
      </w:r>
      <w:proofErr w:type="spellStart"/>
      <w:r w:rsidRPr="00AC0422">
        <w:rPr>
          <w:rFonts w:asciiTheme="minorHAnsi" w:hAnsiTheme="minorHAnsi" w:cstheme="minorHAnsi"/>
          <w:szCs w:val="20"/>
          <w:lang w:val="fr-FR"/>
        </w:rPr>
        <w:t>Bachelor’s</w:t>
      </w:r>
      <w:proofErr w:type="spellEnd"/>
      <w:r w:rsidRPr="00AC0422">
        <w:rPr>
          <w:rFonts w:asciiTheme="minorHAnsi" w:hAnsiTheme="minorHAnsi" w:cstheme="minorHAnsi"/>
          <w:szCs w:val="20"/>
          <w:lang w:val="fr-FR"/>
        </w:rPr>
        <w:t xml:space="preserve"> </w:t>
      </w:r>
      <w:proofErr w:type="spellStart"/>
      <w:r w:rsidRPr="00AC0422">
        <w:rPr>
          <w:rFonts w:asciiTheme="minorHAnsi" w:hAnsiTheme="minorHAnsi" w:cstheme="minorHAnsi"/>
          <w:szCs w:val="20"/>
          <w:lang w:val="fr-FR"/>
        </w:rPr>
        <w:t>degree</w:t>
      </w:r>
      <w:proofErr w:type="spellEnd"/>
      <w:r w:rsidRPr="00AC0422">
        <w:rPr>
          <w:rFonts w:asciiTheme="minorHAnsi" w:hAnsiTheme="minorHAnsi" w:cstheme="minorHAnsi"/>
          <w:szCs w:val="20"/>
          <w:lang w:val="fr-FR"/>
        </w:rPr>
        <w:t>)</w:t>
      </w:r>
    </w:p>
    <w:p w14:paraId="6EE7D69E" w14:textId="77777777" w:rsidR="00173FDC" w:rsidRPr="00AC0422" w:rsidRDefault="00173FDC" w:rsidP="005D2C02">
      <w:pPr>
        <w:numPr>
          <w:ilvl w:val="0"/>
          <w:numId w:val="14"/>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At least three years of relevant work experience of communications for project or </w:t>
      </w:r>
      <w:proofErr w:type="spellStart"/>
      <w:r w:rsidRPr="00AC0422">
        <w:rPr>
          <w:rFonts w:asciiTheme="minorHAnsi" w:hAnsiTheme="minorHAnsi" w:cstheme="minorHAnsi"/>
          <w:szCs w:val="20"/>
        </w:rPr>
        <w:t>programme</w:t>
      </w:r>
      <w:proofErr w:type="spellEnd"/>
      <w:r w:rsidRPr="00AC0422">
        <w:rPr>
          <w:rFonts w:asciiTheme="minorHAnsi" w:hAnsiTheme="minorHAnsi" w:cstheme="minorHAnsi"/>
          <w:szCs w:val="20"/>
        </w:rPr>
        <w:t xml:space="preserve"> implementation, ideally involving international donors. Previous experience with UN projects will be a definite </w:t>
      </w:r>
      <w:proofErr w:type="gramStart"/>
      <w:r w:rsidRPr="00AC0422">
        <w:rPr>
          <w:rFonts w:asciiTheme="minorHAnsi" w:hAnsiTheme="minorHAnsi" w:cstheme="minorHAnsi"/>
          <w:szCs w:val="20"/>
        </w:rPr>
        <w:t>asset;</w:t>
      </w:r>
      <w:proofErr w:type="gramEnd"/>
    </w:p>
    <w:p w14:paraId="4F2151FA" w14:textId="77777777" w:rsidR="00173FDC" w:rsidRPr="00AC0422" w:rsidRDefault="00173FDC" w:rsidP="005D2C02">
      <w:pPr>
        <w:numPr>
          <w:ilvl w:val="0"/>
          <w:numId w:val="14"/>
        </w:numPr>
        <w:spacing w:after="0" w:line="256" w:lineRule="auto"/>
        <w:jc w:val="left"/>
        <w:rPr>
          <w:rFonts w:asciiTheme="minorHAnsi" w:hAnsiTheme="minorHAnsi" w:cstheme="minorHAnsi"/>
          <w:szCs w:val="20"/>
        </w:rPr>
      </w:pPr>
      <w:r w:rsidRPr="00AC0422">
        <w:rPr>
          <w:rFonts w:asciiTheme="minorHAnsi" w:hAnsiTheme="minorHAnsi" w:cstheme="minorHAnsi"/>
          <w:szCs w:val="20"/>
        </w:rPr>
        <w:t>Previous experience in developing and implementing communications strategies for organizations or projects</w:t>
      </w:r>
    </w:p>
    <w:p w14:paraId="4C52B0EC" w14:textId="77777777" w:rsidR="00173FDC" w:rsidRPr="00AC0422" w:rsidRDefault="00173FDC" w:rsidP="005D2C02">
      <w:pPr>
        <w:numPr>
          <w:ilvl w:val="0"/>
          <w:numId w:val="14"/>
        </w:numPr>
        <w:spacing w:after="0" w:line="256" w:lineRule="auto"/>
        <w:jc w:val="left"/>
        <w:rPr>
          <w:rFonts w:asciiTheme="minorHAnsi" w:hAnsiTheme="minorHAnsi" w:cstheme="minorHAnsi"/>
          <w:szCs w:val="20"/>
        </w:rPr>
      </w:pPr>
      <w:r w:rsidRPr="00AC0422">
        <w:rPr>
          <w:rFonts w:asciiTheme="minorHAnsi" w:hAnsiTheme="minorHAnsi" w:cstheme="minorHAnsi"/>
          <w:szCs w:val="20"/>
        </w:rPr>
        <w:t>Strong professional working capacity to use information and communications technology, specifically including website design and desk top publishing software</w:t>
      </w:r>
    </w:p>
    <w:p w14:paraId="1B5A240E" w14:textId="77777777" w:rsidR="00173FDC" w:rsidRPr="00AC0422" w:rsidRDefault="00173FDC" w:rsidP="005D2C02">
      <w:pPr>
        <w:numPr>
          <w:ilvl w:val="0"/>
          <w:numId w:val="14"/>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Understanding of illegal wildlife trade, biodiversity conservation, sustainable livelihoods and associated </w:t>
      </w:r>
      <w:proofErr w:type="gramStart"/>
      <w:r w:rsidRPr="00AC0422">
        <w:rPr>
          <w:rFonts w:asciiTheme="minorHAnsi" w:hAnsiTheme="minorHAnsi" w:cstheme="minorHAnsi"/>
          <w:szCs w:val="20"/>
        </w:rPr>
        <w:t>issues;</w:t>
      </w:r>
      <w:proofErr w:type="gramEnd"/>
      <w:r w:rsidRPr="00AC0422">
        <w:rPr>
          <w:rFonts w:asciiTheme="minorHAnsi" w:hAnsiTheme="minorHAnsi" w:cstheme="minorHAnsi"/>
          <w:szCs w:val="20"/>
        </w:rPr>
        <w:t xml:space="preserve"> </w:t>
      </w:r>
    </w:p>
    <w:p w14:paraId="6C25EA26" w14:textId="77777777" w:rsidR="00173FDC" w:rsidRPr="00AC0422" w:rsidRDefault="00173FDC" w:rsidP="005D2C02">
      <w:pPr>
        <w:numPr>
          <w:ilvl w:val="0"/>
          <w:numId w:val="14"/>
        </w:numPr>
        <w:spacing w:after="0" w:line="256" w:lineRule="auto"/>
        <w:jc w:val="left"/>
        <w:rPr>
          <w:rFonts w:asciiTheme="minorHAnsi" w:hAnsiTheme="minorHAnsi" w:cstheme="minorHAnsi"/>
          <w:szCs w:val="20"/>
        </w:rPr>
      </w:pPr>
      <w:r w:rsidRPr="00AC0422">
        <w:rPr>
          <w:rFonts w:asciiTheme="minorHAnsi" w:hAnsiTheme="minorHAnsi" w:cstheme="minorHAnsi"/>
          <w:szCs w:val="20"/>
        </w:rPr>
        <w:t xml:space="preserve">Very good inter-personal skills </w:t>
      </w:r>
    </w:p>
    <w:p w14:paraId="0594B56F" w14:textId="77777777" w:rsidR="00173FDC" w:rsidRPr="00AC0422" w:rsidRDefault="00173FDC" w:rsidP="005D2C02">
      <w:pPr>
        <w:numPr>
          <w:ilvl w:val="0"/>
          <w:numId w:val="14"/>
        </w:numPr>
        <w:spacing w:after="0" w:line="259" w:lineRule="auto"/>
        <w:jc w:val="left"/>
        <w:rPr>
          <w:rFonts w:asciiTheme="minorHAnsi" w:hAnsiTheme="minorHAnsi" w:cstheme="minorHAnsi"/>
          <w:b/>
          <w:szCs w:val="20"/>
        </w:rPr>
      </w:pPr>
      <w:r w:rsidRPr="00AC0422">
        <w:rPr>
          <w:rFonts w:asciiTheme="minorHAnsi" w:hAnsiTheme="minorHAnsi" w:cstheme="minorHAnsi"/>
          <w:szCs w:val="20"/>
        </w:rPr>
        <w:t>Excellent language skills in English (writing, speaking and reading) and in local languages</w:t>
      </w:r>
    </w:p>
    <w:p w14:paraId="7F1697E7" w14:textId="485E0760" w:rsidR="00F74AFE" w:rsidRPr="00AC0422" w:rsidRDefault="00F74AFE">
      <w:pPr>
        <w:spacing w:after="0"/>
        <w:jc w:val="left"/>
        <w:rPr>
          <w:rFonts w:asciiTheme="minorHAnsi" w:hAnsiTheme="minorHAnsi" w:cstheme="minorHAnsi"/>
          <w:b/>
          <w:bCs/>
          <w:szCs w:val="20"/>
        </w:rPr>
      </w:pPr>
      <w:bookmarkStart w:id="48" w:name="_Toc488148563"/>
      <w:r w:rsidRPr="00AC0422">
        <w:rPr>
          <w:rFonts w:asciiTheme="minorHAnsi" w:hAnsiTheme="minorHAnsi" w:cstheme="minorHAnsi"/>
        </w:rPr>
        <w:br w:type="page"/>
      </w:r>
    </w:p>
    <w:p w14:paraId="202811B0" w14:textId="6AF7BF44" w:rsidR="00173FDC" w:rsidRPr="00AC0422" w:rsidRDefault="00F74AFE" w:rsidP="00173FDC">
      <w:pPr>
        <w:pStyle w:val="Heading2"/>
        <w:ind w:left="0"/>
        <w:rPr>
          <w:rFonts w:asciiTheme="minorHAnsi" w:hAnsiTheme="minorHAnsi" w:cstheme="minorHAnsi"/>
          <w:sz w:val="24"/>
        </w:rPr>
      </w:pPr>
      <w:bookmarkStart w:id="49" w:name="_Toc40273952"/>
      <w:r w:rsidRPr="00AC0422">
        <w:rPr>
          <w:rFonts w:asciiTheme="minorHAnsi" w:hAnsiTheme="minorHAnsi" w:cstheme="minorHAnsi"/>
          <w:sz w:val="24"/>
        </w:rPr>
        <w:lastRenderedPageBreak/>
        <w:t xml:space="preserve">ANNEX </w:t>
      </w:r>
      <w:r w:rsidR="00D46E55" w:rsidRPr="00AC0422">
        <w:rPr>
          <w:rFonts w:asciiTheme="minorHAnsi" w:hAnsiTheme="minorHAnsi" w:cstheme="minorHAnsi"/>
          <w:sz w:val="24"/>
        </w:rPr>
        <w:t>E</w:t>
      </w:r>
      <w:r w:rsidRPr="00AC0422">
        <w:rPr>
          <w:rFonts w:asciiTheme="minorHAnsi" w:hAnsiTheme="minorHAnsi" w:cstheme="minorHAnsi"/>
          <w:sz w:val="24"/>
        </w:rPr>
        <w:t xml:space="preserve">: </w:t>
      </w:r>
      <w:r w:rsidR="00173FDC" w:rsidRPr="00AC0422">
        <w:rPr>
          <w:rFonts w:asciiTheme="minorHAnsi" w:hAnsiTheme="minorHAnsi" w:cstheme="minorHAnsi"/>
          <w:sz w:val="24"/>
        </w:rPr>
        <w:t>UNDP Risk Log</w:t>
      </w:r>
      <w:bookmarkEnd w:id="49"/>
      <w:r w:rsidR="00173FDC" w:rsidRPr="00AC0422" w:rsidDel="00E07762">
        <w:rPr>
          <w:rFonts w:asciiTheme="minorHAnsi" w:hAnsiTheme="minorHAnsi" w:cstheme="minorHAnsi"/>
          <w:sz w:val="24"/>
        </w:rPr>
        <w:t xml:space="preserve"> </w:t>
      </w:r>
      <w:bookmarkEnd w:id="48"/>
    </w:p>
    <w:p w14:paraId="41A085EB" w14:textId="77777777" w:rsidR="0060451B" w:rsidRPr="00AC0422" w:rsidRDefault="0060451B" w:rsidP="0060451B">
      <w:pPr>
        <w:rPr>
          <w:rFonts w:asciiTheme="minorHAnsi" w:hAnsiTheme="minorHAnsi" w:cstheme="minorHAnsi"/>
        </w:rPr>
      </w:pPr>
    </w:p>
    <w:tbl>
      <w:tblPr>
        <w:tblStyle w:val="ListTable3-Accent11"/>
        <w:tblW w:w="11058" w:type="dxa"/>
        <w:tblInd w:w="-998" w:type="dxa"/>
        <w:tblBorders>
          <w:insideH w:val="single" w:sz="4" w:space="0" w:color="4472C4" w:themeColor="accent1"/>
          <w:insideV w:val="single" w:sz="4" w:space="0" w:color="4472C4" w:themeColor="accent1"/>
        </w:tblBorders>
        <w:tblLook w:val="04A0" w:firstRow="1" w:lastRow="0" w:firstColumn="1" w:lastColumn="0" w:noHBand="0" w:noVBand="1"/>
      </w:tblPr>
      <w:tblGrid>
        <w:gridCol w:w="1829"/>
        <w:gridCol w:w="2385"/>
        <w:gridCol w:w="1196"/>
        <w:gridCol w:w="971"/>
        <w:gridCol w:w="3597"/>
        <w:gridCol w:w="1080"/>
      </w:tblGrid>
      <w:tr w:rsidR="006F1E8B" w:rsidRPr="00AC0422" w14:paraId="23F0B53D" w14:textId="77777777" w:rsidTr="006F1E8B">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277" w:type="dxa"/>
          </w:tcPr>
          <w:p w14:paraId="509D7FCC" w14:textId="77777777" w:rsidR="006F1E8B" w:rsidRPr="00AC0422" w:rsidRDefault="006F1E8B" w:rsidP="00391BF1">
            <w:pPr>
              <w:spacing w:after="120"/>
              <w:rPr>
                <w:rFonts w:cstheme="minorHAnsi"/>
                <w:sz w:val="18"/>
                <w:szCs w:val="18"/>
                <w:lang w:val="en-GB"/>
              </w:rPr>
            </w:pPr>
            <w:r w:rsidRPr="00AC0422">
              <w:rPr>
                <w:rStyle w:val="normaltextrun"/>
                <w:rFonts w:cstheme="minorHAnsi"/>
                <w:sz w:val="18"/>
                <w:szCs w:val="18"/>
                <w:lang w:val="en-GB"/>
              </w:rPr>
              <w:t>Risk category</w:t>
            </w:r>
            <w:r w:rsidRPr="00AC0422">
              <w:rPr>
                <w:rStyle w:val="FootnoteReference"/>
                <w:rFonts w:asciiTheme="minorHAnsi" w:hAnsiTheme="minorHAnsi" w:cstheme="minorHAnsi"/>
                <w:szCs w:val="18"/>
                <w:lang w:val="en-GB"/>
              </w:rPr>
              <w:footnoteReference w:id="26"/>
            </w:r>
          </w:p>
        </w:tc>
        <w:tc>
          <w:tcPr>
            <w:tcW w:w="2546" w:type="dxa"/>
          </w:tcPr>
          <w:p w14:paraId="453C9278" w14:textId="77777777" w:rsidR="006F1E8B" w:rsidRPr="00AC0422" w:rsidRDefault="006F1E8B" w:rsidP="00391BF1">
            <w:pPr>
              <w:spacing w:after="120"/>
              <w:cnfStyle w:val="100000000000" w:firstRow="1" w:lastRow="0" w:firstColumn="0" w:lastColumn="0" w:oddVBand="0" w:evenVBand="0" w:oddHBand="0" w:evenHBand="0" w:firstRowFirstColumn="0" w:firstRowLastColumn="0" w:lastRowFirstColumn="0" w:lastRowLastColumn="0"/>
              <w:rPr>
                <w:rFonts w:cstheme="minorHAnsi"/>
                <w:sz w:val="18"/>
                <w:szCs w:val="18"/>
                <w:lang w:val="en-GB"/>
              </w:rPr>
            </w:pPr>
            <w:r w:rsidRPr="00AC0422">
              <w:rPr>
                <w:rStyle w:val="normaltextrun"/>
                <w:rFonts w:cstheme="minorHAnsi"/>
                <w:sz w:val="18"/>
                <w:szCs w:val="18"/>
                <w:lang w:val="en-GB"/>
              </w:rPr>
              <w:t>Specific risk(s) / Risk(s) description</w:t>
            </w:r>
          </w:p>
        </w:tc>
        <w:tc>
          <w:tcPr>
            <w:tcW w:w="1221" w:type="dxa"/>
          </w:tcPr>
          <w:p w14:paraId="3FCBEBDF" w14:textId="77777777" w:rsidR="006F1E8B" w:rsidRPr="00AC0422" w:rsidRDefault="006F1E8B" w:rsidP="00391BF1">
            <w:pPr>
              <w:spacing w:after="120"/>
              <w:cnfStyle w:val="100000000000" w:firstRow="1" w:lastRow="0" w:firstColumn="0" w:lastColumn="0" w:oddVBand="0" w:evenVBand="0" w:oddHBand="0" w:evenHBand="0" w:firstRowFirstColumn="0" w:firstRowLastColumn="0" w:lastRowFirstColumn="0" w:lastRowLastColumn="0"/>
              <w:rPr>
                <w:rFonts w:cstheme="minorHAnsi"/>
                <w:sz w:val="18"/>
                <w:szCs w:val="18"/>
                <w:lang w:val="en-GB"/>
              </w:rPr>
            </w:pPr>
            <w:r w:rsidRPr="00AC0422">
              <w:rPr>
                <w:rStyle w:val="normaltextrun"/>
                <w:rFonts w:cstheme="minorHAnsi"/>
                <w:sz w:val="18"/>
                <w:szCs w:val="18"/>
                <w:lang w:val="en-GB"/>
              </w:rPr>
              <w:t>Probability of occurrence (low, medium, high)</w:t>
            </w:r>
          </w:p>
        </w:tc>
        <w:tc>
          <w:tcPr>
            <w:tcW w:w="985" w:type="dxa"/>
          </w:tcPr>
          <w:p w14:paraId="0D24A188" w14:textId="77777777" w:rsidR="006F1E8B" w:rsidRPr="00AC0422" w:rsidRDefault="006F1E8B" w:rsidP="00391BF1">
            <w:pPr>
              <w:spacing w:after="120"/>
              <w:cnfStyle w:val="100000000000" w:firstRow="1" w:lastRow="0" w:firstColumn="0" w:lastColumn="0" w:oddVBand="0" w:evenVBand="0" w:oddHBand="0" w:evenHBand="0" w:firstRowFirstColumn="0" w:firstRowLastColumn="0" w:lastRowFirstColumn="0" w:lastRowLastColumn="0"/>
              <w:rPr>
                <w:rFonts w:cstheme="minorHAnsi"/>
                <w:sz w:val="18"/>
                <w:szCs w:val="18"/>
                <w:lang w:val="en-GB"/>
              </w:rPr>
            </w:pPr>
            <w:r w:rsidRPr="00AC0422">
              <w:rPr>
                <w:rStyle w:val="normaltextrun"/>
                <w:rFonts w:cstheme="minorHAnsi"/>
                <w:sz w:val="18"/>
                <w:szCs w:val="18"/>
                <w:lang w:val="en-GB"/>
              </w:rPr>
              <w:t>Impact level (low, medium, high)</w:t>
            </w:r>
          </w:p>
        </w:tc>
        <w:tc>
          <w:tcPr>
            <w:tcW w:w="3949" w:type="dxa"/>
          </w:tcPr>
          <w:p w14:paraId="515597E0" w14:textId="77777777" w:rsidR="006F1E8B" w:rsidRPr="00AC0422" w:rsidRDefault="006F1E8B" w:rsidP="00391BF1">
            <w:pPr>
              <w:spacing w:after="120"/>
              <w:cnfStyle w:val="100000000000" w:firstRow="1" w:lastRow="0" w:firstColumn="0" w:lastColumn="0" w:oddVBand="0" w:evenVBand="0" w:oddHBand="0" w:evenHBand="0" w:firstRowFirstColumn="0" w:firstRowLastColumn="0" w:lastRowFirstColumn="0" w:lastRowLastColumn="0"/>
              <w:rPr>
                <w:rStyle w:val="normaltextrun"/>
                <w:rFonts w:cstheme="minorHAnsi"/>
                <w:b w:val="0"/>
                <w:bCs w:val="0"/>
                <w:color w:val="auto"/>
                <w:sz w:val="18"/>
                <w:szCs w:val="18"/>
                <w:lang w:val="en-GB"/>
              </w:rPr>
            </w:pPr>
            <w:r w:rsidRPr="00AC0422">
              <w:rPr>
                <w:rStyle w:val="normaltextrun"/>
                <w:rFonts w:cstheme="minorHAnsi"/>
                <w:sz w:val="18"/>
                <w:szCs w:val="18"/>
                <w:lang w:val="en-GB"/>
              </w:rPr>
              <w:t>Mitigation action(s)</w:t>
            </w:r>
          </w:p>
          <w:p w14:paraId="5BB0526D" w14:textId="77777777" w:rsidR="006F1E8B" w:rsidRPr="00AC0422" w:rsidRDefault="006F1E8B" w:rsidP="00391BF1">
            <w:pPr>
              <w:spacing w:after="120"/>
              <w:cnfStyle w:val="100000000000" w:firstRow="1" w:lastRow="0" w:firstColumn="0" w:lastColumn="0" w:oddVBand="0" w:evenVBand="0" w:oddHBand="0" w:evenHBand="0" w:firstRowFirstColumn="0" w:firstRowLastColumn="0" w:lastRowFirstColumn="0" w:lastRowLastColumn="0"/>
              <w:rPr>
                <w:rFonts w:cstheme="minorHAnsi"/>
                <w:sz w:val="18"/>
                <w:szCs w:val="18"/>
                <w:lang w:val="en-GB"/>
              </w:rPr>
            </w:pPr>
            <w:r w:rsidRPr="00AC0422">
              <w:rPr>
                <w:rStyle w:val="normaltextrun"/>
                <w:rFonts w:cstheme="minorHAnsi"/>
                <w:sz w:val="18"/>
                <w:szCs w:val="18"/>
                <w:lang w:val="en-GB"/>
              </w:rPr>
              <w:t xml:space="preserve">If relevant, specify the strategies adopted by the ongoing readiness grant in the country to mitigate the risks  </w:t>
            </w:r>
          </w:p>
        </w:tc>
        <w:tc>
          <w:tcPr>
            <w:tcW w:w="1080" w:type="dxa"/>
          </w:tcPr>
          <w:p w14:paraId="16570893" w14:textId="77777777" w:rsidR="006F1E8B" w:rsidRPr="00AC0422" w:rsidRDefault="006F1E8B" w:rsidP="00391BF1">
            <w:pPr>
              <w:spacing w:after="120"/>
              <w:cnfStyle w:val="100000000000" w:firstRow="1" w:lastRow="0" w:firstColumn="0" w:lastColumn="0" w:oddVBand="0" w:evenVBand="0" w:oddHBand="0" w:evenHBand="0" w:firstRowFirstColumn="0" w:firstRowLastColumn="0" w:lastRowFirstColumn="0" w:lastRowLastColumn="0"/>
              <w:rPr>
                <w:rFonts w:cstheme="minorHAnsi"/>
                <w:sz w:val="18"/>
                <w:szCs w:val="18"/>
                <w:lang w:val="en-GB"/>
              </w:rPr>
            </w:pPr>
            <w:r w:rsidRPr="00AC0422">
              <w:rPr>
                <w:rStyle w:val="normaltextrun"/>
                <w:rFonts w:cstheme="minorHAnsi"/>
                <w:sz w:val="18"/>
                <w:szCs w:val="18"/>
                <w:lang w:val="en-GB"/>
              </w:rPr>
              <w:t>Entity(</w:t>
            </w:r>
            <w:proofErr w:type="spellStart"/>
            <w:r w:rsidRPr="00AC0422">
              <w:rPr>
                <w:rStyle w:val="normaltextrun"/>
                <w:rFonts w:cstheme="minorHAnsi"/>
                <w:sz w:val="18"/>
                <w:szCs w:val="18"/>
                <w:lang w:val="en-GB"/>
              </w:rPr>
              <w:t>ies</w:t>
            </w:r>
            <w:proofErr w:type="spellEnd"/>
            <w:r w:rsidRPr="00AC0422">
              <w:rPr>
                <w:rStyle w:val="normaltextrun"/>
                <w:rFonts w:cstheme="minorHAnsi"/>
                <w:sz w:val="18"/>
                <w:szCs w:val="18"/>
                <w:lang w:val="en-GB"/>
              </w:rPr>
              <w:t>) responsible to manage the risk(s)</w:t>
            </w:r>
          </w:p>
        </w:tc>
      </w:tr>
      <w:tr w:rsidR="006F1E8B" w:rsidRPr="00AC0422" w14:paraId="41EFF865" w14:textId="77777777" w:rsidTr="006F1E8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77" w:type="dxa"/>
          </w:tcPr>
          <w:p w14:paraId="6465A3B9" w14:textId="77777777" w:rsidR="006F1E8B" w:rsidRPr="00AC0422" w:rsidRDefault="006F1E8B" w:rsidP="00391BF1">
            <w:pPr>
              <w:spacing w:after="120"/>
              <w:rPr>
                <w:rStyle w:val="normaltextrun"/>
                <w:rFonts w:cstheme="minorHAnsi"/>
                <w:b w:val="0"/>
                <w:bCs w:val="0"/>
                <w:sz w:val="18"/>
                <w:szCs w:val="18"/>
                <w:lang w:val="en-GB"/>
              </w:rPr>
            </w:pPr>
            <w:r w:rsidRPr="00AC0422">
              <w:rPr>
                <w:rFonts w:cstheme="minorHAnsi"/>
                <w:sz w:val="18"/>
                <w:szCs w:val="18"/>
              </w:rPr>
              <w:t>Operational</w:t>
            </w:r>
          </w:p>
        </w:tc>
        <w:tc>
          <w:tcPr>
            <w:tcW w:w="2546" w:type="dxa"/>
          </w:tcPr>
          <w:p w14:paraId="2A46E3C0"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r w:rsidRPr="00AC0422">
              <w:rPr>
                <w:rFonts w:cstheme="minorHAnsi"/>
                <w:bCs/>
                <w:sz w:val="18"/>
                <w:szCs w:val="18"/>
                <w:u w:val="single"/>
              </w:rPr>
              <w:t>Risk 1</w:t>
            </w:r>
            <w:r w:rsidRPr="00AC0422">
              <w:rPr>
                <w:rFonts w:cstheme="minorHAnsi"/>
                <w:bCs/>
                <w:sz w:val="18"/>
                <w:szCs w:val="18"/>
              </w:rPr>
              <w:t>: Lack of political will and stakeholder capacity to maintain effective inter-ministerial coordination, and CCA M&amp;E systems</w:t>
            </w:r>
          </w:p>
        </w:tc>
        <w:tc>
          <w:tcPr>
            <w:tcW w:w="1221" w:type="dxa"/>
          </w:tcPr>
          <w:p w14:paraId="7C9BF3AB"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r w:rsidRPr="00AC0422">
              <w:rPr>
                <w:rStyle w:val="normaltextrun"/>
                <w:rFonts w:cstheme="minorHAnsi"/>
                <w:bCs/>
                <w:sz w:val="18"/>
                <w:szCs w:val="18"/>
                <w:lang w:val="en-GB"/>
              </w:rPr>
              <w:t>Low</w:t>
            </w:r>
          </w:p>
        </w:tc>
        <w:tc>
          <w:tcPr>
            <w:tcW w:w="985" w:type="dxa"/>
          </w:tcPr>
          <w:p w14:paraId="05DFECCC"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r w:rsidRPr="00AC0422">
              <w:rPr>
                <w:rStyle w:val="normaltextrun"/>
                <w:rFonts w:cstheme="minorHAnsi"/>
                <w:bCs/>
                <w:sz w:val="18"/>
                <w:szCs w:val="18"/>
                <w:lang w:val="en-GB"/>
              </w:rPr>
              <w:t xml:space="preserve">Medium </w:t>
            </w:r>
          </w:p>
        </w:tc>
        <w:tc>
          <w:tcPr>
            <w:tcW w:w="3949" w:type="dxa"/>
          </w:tcPr>
          <w:p w14:paraId="7A8C0361"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r w:rsidRPr="00AC0422">
              <w:rPr>
                <w:rFonts w:cstheme="minorHAnsi"/>
                <w:sz w:val="18"/>
                <w:szCs w:val="18"/>
              </w:rPr>
              <w:t xml:space="preserve">To mitigate the risk of limited political will and stakeholder capacity, the project will engage high-level leadership to secure commitments for institutionalizing inter-ministerial coordination and CCA M&amp;E systems, while providing targeted training and technical assistance to strengthen capacity at all levels. The project will also embed these systems within existing structures to ensure sustainability and foster stakeholder ownership through regular consultations and workshops. </w:t>
            </w:r>
          </w:p>
        </w:tc>
        <w:tc>
          <w:tcPr>
            <w:tcW w:w="1080" w:type="dxa"/>
          </w:tcPr>
          <w:p w14:paraId="686AA60F"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proofErr w:type="spellStart"/>
            <w:r w:rsidRPr="00AC0422">
              <w:rPr>
                <w:rStyle w:val="normaltextrun"/>
                <w:rFonts w:cstheme="minorHAnsi"/>
                <w:bCs/>
                <w:sz w:val="18"/>
                <w:szCs w:val="18"/>
                <w:lang w:val="en-GB"/>
              </w:rPr>
              <w:t>MoWE</w:t>
            </w:r>
            <w:proofErr w:type="spellEnd"/>
          </w:p>
          <w:p w14:paraId="5E717706"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r w:rsidRPr="00AC0422">
              <w:rPr>
                <w:rStyle w:val="normaltextrun"/>
                <w:rFonts w:cstheme="minorHAnsi"/>
                <w:bCs/>
                <w:sz w:val="18"/>
                <w:szCs w:val="18"/>
                <w:lang w:val="en-GB"/>
              </w:rPr>
              <w:t>UNDP</w:t>
            </w:r>
          </w:p>
        </w:tc>
      </w:tr>
      <w:tr w:rsidR="006F1E8B" w:rsidRPr="00AC0422" w14:paraId="238D39AF" w14:textId="77777777" w:rsidTr="006F1E8B">
        <w:trPr>
          <w:trHeight w:val="300"/>
        </w:trPr>
        <w:tc>
          <w:tcPr>
            <w:cnfStyle w:val="001000000000" w:firstRow="0" w:lastRow="0" w:firstColumn="1" w:lastColumn="0" w:oddVBand="0" w:evenVBand="0" w:oddHBand="0" w:evenHBand="0" w:firstRowFirstColumn="0" w:firstRowLastColumn="0" w:lastRowFirstColumn="0" w:lastRowLastColumn="0"/>
            <w:tcW w:w="1277" w:type="dxa"/>
          </w:tcPr>
          <w:p w14:paraId="2E192504" w14:textId="77777777" w:rsidR="006F1E8B" w:rsidRPr="00AC0422" w:rsidRDefault="006F1E8B" w:rsidP="00391BF1">
            <w:pPr>
              <w:spacing w:after="120"/>
              <w:rPr>
                <w:rStyle w:val="normaltextrun"/>
                <w:rFonts w:cstheme="minorHAnsi"/>
                <w:b w:val="0"/>
                <w:bCs w:val="0"/>
                <w:sz w:val="18"/>
                <w:szCs w:val="18"/>
                <w:lang w:val="en-GB"/>
              </w:rPr>
            </w:pPr>
            <w:r w:rsidRPr="00AC0422">
              <w:rPr>
                <w:rFonts w:cstheme="minorHAnsi"/>
                <w:sz w:val="18"/>
                <w:szCs w:val="18"/>
              </w:rPr>
              <w:t>Political</w:t>
            </w:r>
          </w:p>
        </w:tc>
        <w:tc>
          <w:tcPr>
            <w:tcW w:w="2546" w:type="dxa"/>
          </w:tcPr>
          <w:p w14:paraId="15ADDAA1"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u w:val="single"/>
              </w:rPr>
              <w:t>Risk 2</w:t>
            </w:r>
            <w:r w:rsidRPr="00AC0422">
              <w:rPr>
                <w:rFonts w:cstheme="minorHAnsi"/>
                <w:sz w:val="18"/>
                <w:szCs w:val="18"/>
              </w:rPr>
              <w:t>: Limited institutional capacity may hinder the integration of adaptation into national and sectoral policies and plans.</w:t>
            </w:r>
          </w:p>
          <w:p w14:paraId="49A9139A"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p>
        </w:tc>
        <w:tc>
          <w:tcPr>
            <w:tcW w:w="1221" w:type="dxa"/>
          </w:tcPr>
          <w:p w14:paraId="7661CEDD"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t>Low</w:t>
            </w:r>
          </w:p>
        </w:tc>
        <w:tc>
          <w:tcPr>
            <w:tcW w:w="985" w:type="dxa"/>
          </w:tcPr>
          <w:p w14:paraId="2149DEE9"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t>Medium</w:t>
            </w:r>
          </w:p>
        </w:tc>
        <w:tc>
          <w:tcPr>
            <w:tcW w:w="3949" w:type="dxa"/>
          </w:tcPr>
          <w:p w14:paraId="29F95668" w14:textId="77777777" w:rsidR="006F1E8B" w:rsidRPr="00AC0422" w:rsidRDefault="006F1E8B" w:rsidP="00391BF1">
            <w:pPr>
              <w:pStyle w:val="Default"/>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color w:val="auto"/>
                <w:sz w:val="18"/>
                <w:szCs w:val="18"/>
              </w:rPr>
            </w:pPr>
            <w:r w:rsidRPr="00AC0422">
              <w:rPr>
                <w:rFonts w:asciiTheme="minorHAnsi" w:hAnsiTheme="minorHAnsi" w:cstheme="minorHAnsi"/>
                <w:sz w:val="18"/>
                <w:szCs w:val="18"/>
              </w:rPr>
              <w:t>To mitigate the risk of limited institutional capacity hindering the integration of adaptation into national and sectoral policies, the project will provide targeted capacity-building programs and technical assistance to enhance the skills and knowledge of key institutions. It will embed adaptation planning into existing policy frameworks and processes, ensuring alignment with national priorities. Additionally, the project will foster cross-sectoral collaboration through multi-stakeholder platforms and support the development of clear guidelines and tools to streamline the integration process.</w:t>
            </w:r>
          </w:p>
        </w:tc>
        <w:tc>
          <w:tcPr>
            <w:tcW w:w="1080" w:type="dxa"/>
          </w:tcPr>
          <w:p w14:paraId="5D748B60"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bCs/>
                <w:sz w:val="18"/>
                <w:szCs w:val="18"/>
                <w:lang w:val="en-GB"/>
              </w:rPr>
            </w:pPr>
            <w:proofErr w:type="spellStart"/>
            <w:r w:rsidRPr="00AC0422">
              <w:rPr>
                <w:rStyle w:val="normaltextrun"/>
                <w:rFonts w:cstheme="minorHAnsi"/>
                <w:bCs/>
                <w:sz w:val="18"/>
                <w:szCs w:val="18"/>
                <w:lang w:val="en-GB"/>
              </w:rPr>
              <w:t>MoWE</w:t>
            </w:r>
            <w:proofErr w:type="spellEnd"/>
          </w:p>
          <w:p w14:paraId="5B13D989"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color w:val="000000"/>
                <w:sz w:val="18"/>
                <w:szCs w:val="18"/>
                <w:lang w:val="en-GB"/>
              </w:rPr>
            </w:pPr>
            <w:r w:rsidRPr="00AC0422">
              <w:rPr>
                <w:rStyle w:val="normaltextrun"/>
                <w:rFonts w:cstheme="minorHAnsi"/>
                <w:bCs/>
                <w:sz w:val="18"/>
                <w:szCs w:val="18"/>
                <w:lang w:val="en-GB"/>
              </w:rPr>
              <w:t>UNDP</w:t>
            </w:r>
          </w:p>
        </w:tc>
      </w:tr>
      <w:tr w:rsidR="006F1E8B" w:rsidRPr="00AC0422" w14:paraId="239049F9" w14:textId="77777777" w:rsidTr="006F1E8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77" w:type="dxa"/>
          </w:tcPr>
          <w:p w14:paraId="7BEAAB0A" w14:textId="77777777" w:rsidR="006F1E8B" w:rsidRPr="00AC0422" w:rsidRDefault="006F1E8B" w:rsidP="00391BF1">
            <w:pPr>
              <w:spacing w:after="120"/>
              <w:rPr>
                <w:rFonts w:cstheme="minorHAnsi"/>
                <w:b w:val="0"/>
                <w:bCs w:val="0"/>
                <w:sz w:val="18"/>
                <w:szCs w:val="18"/>
              </w:rPr>
            </w:pPr>
            <w:r w:rsidRPr="00AC0422">
              <w:rPr>
                <w:rFonts w:cstheme="minorHAnsi"/>
                <w:sz w:val="18"/>
                <w:szCs w:val="18"/>
              </w:rPr>
              <w:t xml:space="preserve">Stakeholder </w:t>
            </w:r>
          </w:p>
          <w:p w14:paraId="74B08EDF" w14:textId="77777777" w:rsidR="006F1E8B" w:rsidRPr="00AC0422" w:rsidRDefault="006F1E8B" w:rsidP="00391BF1">
            <w:pPr>
              <w:spacing w:after="120"/>
              <w:rPr>
                <w:rFonts w:cstheme="minorHAnsi"/>
                <w:sz w:val="18"/>
                <w:szCs w:val="18"/>
              </w:rPr>
            </w:pPr>
            <w:r w:rsidRPr="00AC0422">
              <w:rPr>
                <w:rFonts w:cstheme="minorHAnsi"/>
                <w:sz w:val="18"/>
                <w:szCs w:val="18"/>
              </w:rPr>
              <w:t>engagement</w:t>
            </w:r>
          </w:p>
        </w:tc>
        <w:tc>
          <w:tcPr>
            <w:tcW w:w="2546" w:type="dxa"/>
          </w:tcPr>
          <w:p w14:paraId="346604F6"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en-GB"/>
              </w:rPr>
            </w:pPr>
            <w:r w:rsidRPr="00AC0422">
              <w:rPr>
                <w:rFonts w:cstheme="minorHAnsi"/>
                <w:sz w:val="18"/>
                <w:szCs w:val="18"/>
                <w:u w:val="single"/>
              </w:rPr>
              <w:t>Risk 3:</w:t>
            </w:r>
            <w:r w:rsidRPr="00AC0422">
              <w:rPr>
                <w:rFonts w:cstheme="minorHAnsi"/>
                <w:sz w:val="18"/>
                <w:szCs w:val="18"/>
              </w:rPr>
              <w:t xml:space="preserve"> Lack of agreement on data sharing for development and analysis of climate risks and impacts in targeted sectors</w:t>
            </w:r>
          </w:p>
        </w:tc>
        <w:tc>
          <w:tcPr>
            <w:tcW w:w="1221" w:type="dxa"/>
          </w:tcPr>
          <w:p w14:paraId="48D92643"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t>Low</w:t>
            </w:r>
          </w:p>
        </w:tc>
        <w:tc>
          <w:tcPr>
            <w:tcW w:w="985" w:type="dxa"/>
          </w:tcPr>
          <w:p w14:paraId="4D9DAA76"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t>Medium</w:t>
            </w:r>
          </w:p>
        </w:tc>
        <w:tc>
          <w:tcPr>
            <w:tcW w:w="3949" w:type="dxa"/>
          </w:tcPr>
          <w:p w14:paraId="34A14DB4"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To mitigate the risk of lack of agreement on data sharing for climate risk and impact analysis, the project will establish formal data-sharing agreements and protocols among key stakeholders to ensure clarity and accountability. It will promote trust and collaboration through regular stakeholder dialogues and workshops, highlighting the mutual benefits of shared data for informed decision-making and sectoral planning. The project will also support the development of centralized data platforms to facilitate access and use while ensuring data security and ownership concerns are addressed.</w:t>
            </w:r>
          </w:p>
        </w:tc>
        <w:tc>
          <w:tcPr>
            <w:tcW w:w="1080" w:type="dxa"/>
          </w:tcPr>
          <w:p w14:paraId="2B2ECE41"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sv-SE"/>
              </w:rPr>
            </w:pPr>
            <w:proofErr w:type="spellStart"/>
            <w:r w:rsidRPr="00AC0422">
              <w:rPr>
                <w:rStyle w:val="normaltextrun"/>
                <w:rFonts w:cstheme="minorHAnsi"/>
                <w:bCs/>
                <w:sz w:val="18"/>
                <w:szCs w:val="18"/>
                <w:lang w:val="sv-SE"/>
              </w:rPr>
              <w:t>MoWE</w:t>
            </w:r>
            <w:proofErr w:type="spellEnd"/>
          </w:p>
          <w:p w14:paraId="3DAB619D"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sv-SE"/>
              </w:rPr>
            </w:pPr>
            <w:r w:rsidRPr="00AC0422">
              <w:rPr>
                <w:rStyle w:val="normaltextrun"/>
                <w:rFonts w:cstheme="minorHAnsi"/>
                <w:bCs/>
                <w:sz w:val="18"/>
                <w:szCs w:val="18"/>
                <w:lang w:val="sv-SE"/>
              </w:rPr>
              <w:t>UNDP</w:t>
            </w:r>
          </w:p>
          <w:p w14:paraId="72CCA13E"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sv-SE"/>
              </w:rPr>
            </w:pPr>
            <w:proofErr w:type="spellStart"/>
            <w:r w:rsidRPr="00AC0422">
              <w:rPr>
                <w:rStyle w:val="normaltextrun"/>
                <w:rFonts w:cstheme="minorHAnsi"/>
                <w:sz w:val="18"/>
                <w:szCs w:val="18"/>
                <w:lang w:val="sv-SE"/>
              </w:rPr>
              <w:t>MoH</w:t>
            </w:r>
            <w:proofErr w:type="spellEnd"/>
          </w:p>
          <w:p w14:paraId="2F52C63B"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sv-SE"/>
              </w:rPr>
            </w:pPr>
            <w:proofErr w:type="spellStart"/>
            <w:r w:rsidRPr="00AC0422">
              <w:rPr>
                <w:rStyle w:val="normaltextrun"/>
                <w:rFonts w:cstheme="minorHAnsi"/>
                <w:sz w:val="18"/>
                <w:szCs w:val="18"/>
                <w:lang w:val="sv-SE"/>
              </w:rPr>
              <w:t>MoA</w:t>
            </w:r>
            <w:proofErr w:type="spellEnd"/>
          </w:p>
          <w:p w14:paraId="158B7EE8"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sv-SE"/>
              </w:rPr>
            </w:pPr>
            <w:proofErr w:type="spellStart"/>
            <w:r w:rsidRPr="00AC0422">
              <w:rPr>
                <w:rStyle w:val="normaltextrun"/>
                <w:rFonts w:cstheme="minorHAnsi"/>
                <w:sz w:val="18"/>
                <w:szCs w:val="18"/>
                <w:lang w:val="sv-SE"/>
              </w:rPr>
              <w:t>MoFI</w:t>
            </w:r>
            <w:proofErr w:type="spellEnd"/>
          </w:p>
        </w:tc>
      </w:tr>
      <w:tr w:rsidR="006F1E8B" w:rsidRPr="00AC0422" w14:paraId="32076CFA" w14:textId="77777777" w:rsidTr="006F1E8B">
        <w:trPr>
          <w:trHeight w:val="300"/>
        </w:trPr>
        <w:tc>
          <w:tcPr>
            <w:cnfStyle w:val="001000000000" w:firstRow="0" w:lastRow="0" w:firstColumn="1" w:lastColumn="0" w:oddVBand="0" w:evenVBand="0" w:oddHBand="0" w:evenHBand="0" w:firstRowFirstColumn="0" w:firstRowLastColumn="0" w:lastRowFirstColumn="0" w:lastRowLastColumn="0"/>
            <w:tcW w:w="1277" w:type="dxa"/>
          </w:tcPr>
          <w:p w14:paraId="71729811" w14:textId="77777777" w:rsidR="006F1E8B" w:rsidRPr="00AC0422" w:rsidRDefault="006F1E8B" w:rsidP="00391BF1">
            <w:pPr>
              <w:spacing w:after="120"/>
              <w:rPr>
                <w:rStyle w:val="normaltextrun"/>
                <w:rFonts w:cstheme="minorHAnsi"/>
                <w:b w:val="0"/>
                <w:bCs w:val="0"/>
                <w:sz w:val="18"/>
                <w:szCs w:val="18"/>
                <w:lang w:val="en-GB"/>
              </w:rPr>
            </w:pPr>
            <w:r w:rsidRPr="00AC0422">
              <w:rPr>
                <w:rFonts w:cstheme="minorHAnsi"/>
                <w:sz w:val="18"/>
                <w:szCs w:val="18"/>
              </w:rPr>
              <w:t>Technical</w:t>
            </w:r>
          </w:p>
        </w:tc>
        <w:tc>
          <w:tcPr>
            <w:tcW w:w="2546" w:type="dxa"/>
          </w:tcPr>
          <w:p w14:paraId="5440B05F"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Fonts w:cstheme="minorHAnsi"/>
                <w:sz w:val="18"/>
                <w:szCs w:val="18"/>
                <w:u w:val="single"/>
              </w:rPr>
            </w:pPr>
            <w:r w:rsidRPr="00AC0422">
              <w:rPr>
                <w:rFonts w:cstheme="minorHAnsi"/>
                <w:sz w:val="18"/>
                <w:szCs w:val="18"/>
                <w:u w:val="single"/>
              </w:rPr>
              <w:t>Risk 4:</w:t>
            </w:r>
          </w:p>
          <w:p w14:paraId="50BB1170"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lastRenderedPageBreak/>
              <w:t>Inadequate financing for long-term implementation due to limited financial and technical capacity, lack of climate data and strategies for long-term systematic development of bankable CCA projects</w:t>
            </w:r>
          </w:p>
          <w:p w14:paraId="3398E93A"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p>
        </w:tc>
        <w:tc>
          <w:tcPr>
            <w:tcW w:w="1221" w:type="dxa"/>
          </w:tcPr>
          <w:p w14:paraId="0C38335C"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lastRenderedPageBreak/>
              <w:t>Low</w:t>
            </w:r>
          </w:p>
        </w:tc>
        <w:tc>
          <w:tcPr>
            <w:tcW w:w="985" w:type="dxa"/>
          </w:tcPr>
          <w:p w14:paraId="6317095E"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t>Medium</w:t>
            </w:r>
          </w:p>
        </w:tc>
        <w:tc>
          <w:tcPr>
            <w:tcW w:w="3949" w:type="dxa"/>
          </w:tcPr>
          <w:p w14:paraId="05CF36CA"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AC0422">
              <w:rPr>
                <w:rFonts w:cstheme="minorHAnsi"/>
                <w:sz w:val="18"/>
                <w:szCs w:val="18"/>
              </w:rPr>
              <w:t xml:space="preserve">The project will address the lack of adaptation finance by developing two priority concept notes for cross-sectoral projects, supported by </w:t>
            </w:r>
            <w:r w:rsidRPr="00AC0422">
              <w:rPr>
                <w:rFonts w:cstheme="minorHAnsi"/>
                <w:sz w:val="18"/>
                <w:szCs w:val="18"/>
              </w:rPr>
              <w:lastRenderedPageBreak/>
              <w:t>pre-feasibility studies. A cross-sectoral NAP Finance Working Group will be established to steer the financing strategy for the adaptation project pipeline and develop a long-term funding strategy for CCA in Yemen</w:t>
            </w:r>
          </w:p>
        </w:tc>
        <w:tc>
          <w:tcPr>
            <w:tcW w:w="1080" w:type="dxa"/>
          </w:tcPr>
          <w:p w14:paraId="79759C7A"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bCs/>
                <w:sz w:val="18"/>
                <w:szCs w:val="18"/>
                <w:lang w:val="en-GB"/>
              </w:rPr>
            </w:pPr>
            <w:proofErr w:type="spellStart"/>
            <w:r w:rsidRPr="00AC0422">
              <w:rPr>
                <w:rStyle w:val="normaltextrun"/>
                <w:rFonts w:cstheme="minorHAnsi"/>
                <w:bCs/>
                <w:sz w:val="18"/>
                <w:szCs w:val="18"/>
                <w:lang w:val="en-GB"/>
              </w:rPr>
              <w:lastRenderedPageBreak/>
              <w:t>MoWE</w:t>
            </w:r>
            <w:proofErr w:type="spellEnd"/>
          </w:p>
          <w:p w14:paraId="3000DDE5"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bCs/>
                <w:sz w:val="18"/>
                <w:szCs w:val="18"/>
                <w:lang w:val="en-GB"/>
              </w:rPr>
            </w:pPr>
            <w:proofErr w:type="spellStart"/>
            <w:r w:rsidRPr="00AC0422">
              <w:rPr>
                <w:rStyle w:val="normaltextrun"/>
                <w:rFonts w:cstheme="minorHAnsi"/>
                <w:bCs/>
                <w:sz w:val="18"/>
                <w:szCs w:val="18"/>
                <w:lang w:val="en-GB"/>
              </w:rPr>
              <w:t>MoPIC</w:t>
            </w:r>
            <w:proofErr w:type="spellEnd"/>
          </w:p>
          <w:p w14:paraId="2C4D717C" w14:textId="77777777" w:rsidR="006F1E8B" w:rsidRPr="00AC0422" w:rsidRDefault="006F1E8B" w:rsidP="00391BF1">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bCs/>
                <w:sz w:val="18"/>
                <w:szCs w:val="18"/>
                <w:lang w:val="en-GB"/>
              </w:rPr>
              <w:lastRenderedPageBreak/>
              <w:t>UNDP</w:t>
            </w:r>
          </w:p>
        </w:tc>
      </w:tr>
      <w:tr w:rsidR="006F1E8B" w:rsidRPr="00AC0422" w14:paraId="3718F855" w14:textId="77777777" w:rsidTr="006F1E8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77" w:type="dxa"/>
          </w:tcPr>
          <w:p w14:paraId="61EC7EDF" w14:textId="77777777" w:rsidR="006F1E8B" w:rsidRPr="00AC0422" w:rsidRDefault="006F1E8B" w:rsidP="00391BF1">
            <w:pPr>
              <w:spacing w:after="120"/>
              <w:rPr>
                <w:rFonts w:cstheme="minorHAnsi"/>
                <w:sz w:val="18"/>
                <w:szCs w:val="18"/>
              </w:rPr>
            </w:pPr>
            <w:r w:rsidRPr="00AC0422">
              <w:rPr>
                <w:rFonts w:cstheme="minorHAnsi"/>
                <w:sz w:val="18"/>
                <w:szCs w:val="18"/>
              </w:rPr>
              <w:lastRenderedPageBreak/>
              <w:t>Operational</w:t>
            </w:r>
          </w:p>
        </w:tc>
        <w:tc>
          <w:tcPr>
            <w:tcW w:w="2546" w:type="dxa"/>
          </w:tcPr>
          <w:p w14:paraId="48CC18DD"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Risk 5: Delays in GCF disbursements and the recruitment of project staff and experts.</w:t>
            </w:r>
          </w:p>
        </w:tc>
        <w:tc>
          <w:tcPr>
            <w:tcW w:w="1221" w:type="dxa"/>
          </w:tcPr>
          <w:p w14:paraId="58E2A6AF"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t>Medium</w:t>
            </w:r>
          </w:p>
        </w:tc>
        <w:tc>
          <w:tcPr>
            <w:tcW w:w="985" w:type="dxa"/>
          </w:tcPr>
          <w:p w14:paraId="0A215D98"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en-GB"/>
              </w:rPr>
            </w:pPr>
            <w:r w:rsidRPr="00AC0422">
              <w:rPr>
                <w:rStyle w:val="normaltextrun"/>
                <w:rFonts w:cstheme="minorHAnsi"/>
                <w:sz w:val="18"/>
                <w:szCs w:val="18"/>
                <w:lang w:val="en-GB"/>
              </w:rPr>
              <w:t>High</w:t>
            </w:r>
          </w:p>
        </w:tc>
        <w:tc>
          <w:tcPr>
            <w:tcW w:w="3949" w:type="dxa"/>
          </w:tcPr>
          <w:p w14:paraId="3D1057C7"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AC0422">
              <w:rPr>
                <w:rFonts w:cstheme="minorHAnsi"/>
                <w:sz w:val="18"/>
                <w:szCs w:val="18"/>
              </w:rPr>
              <w:t>This may slow down the implementation of key activities, affecting project timelines and deliverables. To mitigate delays in GCF disbursements and staff recruitment, the project will closely monitor disbursement schedules and maintain proactive communication with GCF to expedite fund transfers. Timely submission of disbursement requests with all required documentation will help prevent administrative delays. Recruitment processes will be initiated early, utilizing roster mechanisms.</w:t>
            </w:r>
          </w:p>
        </w:tc>
        <w:tc>
          <w:tcPr>
            <w:tcW w:w="1080" w:type="dxa"/>
          </w:tcPr>
          <w:p w14:paraId="370432AD" w14:textId="77777777" w:rsidR="006F1E8B" w:rsidRPr="00AC0422" w:rsidRDefault="006F1E8B" w:rsidP="00391BF1">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p>
        </w:tc>
      </w:tr>
      <w:tr w:rsidR="00A602E9" w:rsidRPr="00AC0422" w14:paraId="5EE0B47D" w14:textId="77777777" w:rsidTr="006F1E8B">
        <w:trPr>
          <w:trHeight w:val="300"/>
        </w:trPr>
        <w:tc>
          <w:tcPr>
            <w:cnfStyle w:val="001000000000" w:firstRow="0" w:lastRow="0" w:firstColumn="1" w:lastColumn="0" w:oddVBand="0" w:evenVBand="0" w:oddHBand="0" w:evenHBand="0" w:firstRowFirstColumn="0" w:firstRowLastColumn="0" w:lastRowFirstColumn="0" w:lastRowLastColumn="0"/>
            <w:tcW w:w="1277" w:type="dxa"/>
          </w:tcPr>
          <w:p w14:paraId="470C0C78" w14:textId="49ABCF50" w:rsidR="00A602E9" w:rsidRPr="00AC0422" w:rsidRDefault="00A602E9" w:rsidP="00A602E9">
            <w:pPr>
              <w:spacing w:after="120"/>
              <w:rPr>
                <w:rFonts w:cstheme="minorHAnsi"/>
                <w:sz w:val="18"/>
                <w:szCs w:val="18"/>
              </w:rPr>
            </w:pPr>
            <w:r w:rsidRPr="00492B75">
              <w:rPr>
                <w:rFonts w:cstheme="minorHAnsi"/>
                <w:sz w:val="18"/>
                <w:szCs w:val="18"/>
              </w:rPr>
              <w:t>Environmental/Social</w:t>
            </w:r>
          </w:p>
        </w:tc>
        <w:tc>
          <w:tcPr>
            <w:tcW w:w="2546" w:type="dxa"/>
          </w:tcPr>
          <w:p w14:paraId="344728F8" w14:textId="5F3D0242" w:rsidR="00A602E9" w:rsidRPr="00AC0422" w:rsidRDefault="00A602E9" w:rsidP="00A602E9">
            <w:pPr>
              <w:spacing w:after="1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 xml:space="preserve">Risk 6: </w:t>
            </w:r>
            <w:r w:rsidRPr="00492B75">
              <w:rPr>
                <w:rFonts w:cstheme="minorHAnsi"/>
                <w:sz w:val="18"/>
                <w:szCs w:val="18"/>
              </w:rPr>
              <w:t>Limited inclusion of women and marginalized groups in NAP processes and consultations may lead to inequitable adaptation planning</w:t>
            </w:r>
          </w:p>
        </w:tc>
        <w:tc>
          <w:tcPr>
            <w:tcW w:w="1221" w:type="dxa"/>
          </w:tcPr>
          <w:p w14:paraId="28FB6F9D" w14:textId="428C81C8" w:rsidR="00A602E9" w:rsidRPr="00AC0422" w:rsidRDefault="00A602E9" w:rsidP="00A602E9">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r w:rsidRPr="00492B75">
              <w:rPr>
                <w:rFonts w:cstheme="minorHAnsi"/>
                <w:sz w:val="18"/>
                <w:szCs w:val="18"/>
              </w:rPr>
              <w:t>Medium</w:t>
            </w:r>
          </w:p>
        </w:tc>
        <w:tc>
          <w:tcPr>
            <w:tcW w:w="985" w:type="dxa"/>
          </w:tcPr>
          <w:p w14:paraId="50F59261" w14:textId="235BAD66" w:rsidR="00A602E9" w:rsidRPr="00AC0422" w:rsidRDefault="00A602E9" w:rsidP="00A602E9">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sz w:val="18"/>
                <w:szCs w:val="18"/>
                <w:lang w:val="en-GB"/>
              </w:rPr>
            </w:pPr>
            <w:r w:rsidRPr="00492B75">
              <w:rPr>
                <w:rFonts w:cstheme="minorHAnsi"/>
                <w:sz w:val="18"/>
                <w:szCs w:val="18"/>
              </w:rPr>
              <w:t>Medium</w:t>
            </w:r>
          </w:p>
        </w:tc>
        <w:tc>
          <w:tcPr>
            <w:tcW w:w="3949" w:type="dxa"/>
          </w:tcPr>
          <w:p w14:paraId="77FD83DA" w14:textId="0F17F06F" w:rsidR="00A602E9" w:rsidRPr="00AC0422" w:rsidRDefault="00A602E9" w:rsidP="00A602E9">
            <w:pPr>
              <w:spacing w:after="120"/>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492B75">
              <w:rPr>
                <w:rFonts w:cstheme="minorHAnsi"/>
                <w:sz w:val="18"/>
                <w:szCs w:val="18"/>
              </w:rPr>
              <w:t>Conduct gender analysis and develop a GAP; ensure gender</w:t>
            </w:r>
            <w:r>
              <w:rPr>
                <w:rFonts w:cstheme="minorHAnsi"/>
                <w:sz w:val="18"/>
                <w:szCs w:val="18"/>
              </w:rPr>
              <w:t xml:space="preserve"> </w:t>
            </w:r>
            <w:r w:rsidRPr="00492B75">
              <w:rPr>
                <w:rFonts w:cstheme="minorHAnsi"/>
                <w:sz w:val="18"/>
                <w:szCs w:val="18"/>
              </w:rPr>
              <w:t>balanced participation in consultations</w:t>
            </w:r>
            <w:r>
              <w:rPr>
                <w:rFonts w:cstheme="minorHAnsi"/>
                <w:sz w:val="18"/>
                <w:szCs w:val="18"/>
              </w:rPr>
              <w:t>,</w:t>
            </w:r>
            <w:r w:rsidRPr="00492B75">
              <w:rPr>
                <w:rFonts w:cstheme="minorHAnsi"/>
                <w:sz w:val="18"/>
                <w:szCs w:val="18"/>
              </w:rPr>
              <w:t xml:space="preserve"> support women’s CSOs to engage in policy dialogue.</w:t>
            </w:r>
          </w:p>
        </w:tc>
        <w:tc>
          <w:tcPr>
            <w:tcW w:w="1080" w:type="dxa"/>
          </w:tcPr>
          <w:p w14:paraId="53B8429F" w14:textId="246F85A7" w:rsidR="00A602E9" w:rsidRPr="00AC0422" w:rsidRDefault="00A602E9" w:rsidP="00A602E9">
            <w:pPr>
              <w:spacing w:after="120"/>
              <w:cnfStyle w:val="000000000000" w:firstRow="0" w:lastRow="0" w:firstColumn="0" w:lastColumn="0" w:oddVBand="0" w:evenVBand="0" w:oddHBand="0" w:evenHBand="0" w:firstRowFirstColumn="0" w:firstRowLastColumn="0" w:lastRowFirstColumn="0" w:lastRowLastColumn="0"/>
              <w:rPr>
                <w:rStyle w:val="normaltextrun"/>
                <w:rFonts w:cstheme="minorHAnsi"/>
                <w:bCs/>
                <w:sz w:val="18"/>
                <w:szCs w:val="18"/>
                <w:lang w:val="en-GB"/>
              </w:rPr>
            </w:pPr>
            <w:proofErr w:type="spellStart"/>
            <w:r w:rsidRPr="00492B75">
              <w:rPr>
                <w:rFonts w:cstheme="minorHAnsi"/>
                <w:sz w:val="18"/>
                <w:szCs w:val="18"/>
              </w:rPr>
              <w:t>MoWE</w:t>
            </w:r>
            <w:proofErr w:type="spellEnd"/>
            <w:r w:rsidRPr="00492B75">
              <w:rPr>
                <w:rFonts w:cstheme="minorHAnsi"/>
                <w:sz w:val="18"/>
                <w:szCs w:val="18"/>
              </w:rPr>
              <w:t>, UNDP, EPA</w:t>
            </w:r>
          </w:p>
        </w:tc>
      </w:tr>
      <w:tr w:rsidR="00A602E9" w:rsidRPr="00AC0422" w14:paraId="346A040F" w14:textId="77777777" w:rsidTr="006F1E8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77" w:type="dxa"/>
          </w:tcPr>
          <w:p w14:paraId="23D44A8C" w14:textId="65671B67" w:rsidR="00A602E9" w:rsidRPr="00AC0422" w:rsidRDefault="00A602E9" w:rsidP="00A602E9">
            <w:pPr>
              <w:spacing w:after="120"/>
              <w:rPr>
                <w:rFonts w:cstheme="minorHAnsi"/>
                <w:sz w:val="18"/>
                <w:szCs w:val="18"/>
              </w:rPr>
            </w:pPr>
            <w:r w:rsidRPr="00250962">
              <w:rPr>
                <w:rFonts w:cstheme="minorHAnsi"/>
                <w:sz w:val="18"/>
                <w:szCs w:val="18"/>
              </w:rPr>
              <w:t>Institutional Sustainability</w:t>
            </w:r>
          </w:p>
        </w:tc>
        <w:tc>
          <w:tcPr>
            <w:tcW w:w="2546" w:type="dxa"/>
          </w:tcPr>
          <w:p w14:paraId="223CB4D4" w14:textId="3F93200D" w:rsidR="00A602E9" w:rsidRPr="00AC0422" w:rsidRDefault="00A602E9" w:rsidP="00A602E9">
            <w:pPr>
              <w:spacing w:after="1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 xml:space="preserve">Risk 7: </w:t>
            </w:r>
            <w:r w:rsidRPr="00492B75">
              <w:rPr>
                <w:rFonts w:cstheme="minorHAnsi"/>
                <w:sz w:val="18"/>
                <w:szCs w:val="18"/>
              </w:rPr>
              <w:t>High staff turnover in public institutions may undermine the retention of technical capacity developed through the NAP project</w:t>
            </w:r>
          </w:p>
        </w:tc>
        <w:tc>
          <w:tcPr>
            <w:tcW w:w="1221" w:type="dxa"/>
          </w:tcPr>
          <w:p w14:paraId="0DF1E5F0" w14:textId="0A416034" w:rsidR="00A602E9" w:rsidRPr="00AC0422" w:rsidRDefault="00A602E9" w:rsidP="00A602E9">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en-GB"/>
              </w:rPr>
            </w:pPr>
            <w:r w:rsidRPr="00492B75">
              <w:rPr>
                <w:rFonts w:cstheme="minorHAnsi"/>
                <w:sz w:val="18"/>
                <w:szCs w:val="18"/>
              </w:rPr>
              <w:t>Medium</w:t>
            </w:r>
          </w:p>
        </w:tc>
        <w:tc>
          <w:tcPr>
            <w:tcW w:w="985" w:type="dxa"/>
          </w:tcPr>
          <w:p w14:paraId="140ECF27" w14:textId="09145754" w:rsidR="00A602E9" w:rsidRPr="00AC0422" w:rsidRDefault="00A602E9" w:rsidP="00A602E9">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sz w:val="18"/>
                <w:szCs w:val="18"/>
                <w:lang w:val="en-GB"/>
              </w:rPr>
            </w:pPr>
            <w:r w:rsidRPr="00492B75">
              <w:rPr>
                <w:rFonts w:cstheme="minorHAnsi"/>
                <w:sz w:val="18"/>
                <w:szCs w:val="18"/>
              </w:rPr>
              <w:t>High</w:t>
            </w:r>
          </w:p>
        </w:tc>
        <w:tc>
          <w:tcPr>
            <w:tcW w:w="3949" w:type="dxa"/>
          </w:tcPr>
          <w:p w14:paraId="172DD008" w14:textId="6C66D9F9" w:rsidR="00A602E9" w:rsidRPr="00AC0422" w:rsidRDefault="00A602E9" w:rsidP="00A602E9">
            <w:pPr>
              <w:spacing w:after="12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492B75">
              <w:rPr>
                <w:rFonts w:cstheme="minorHAnsi"/>
                <w:sz w:val="18"/>
                <w:szCs w:val="18"/>
              </w:rPr>
              <w:t>Institutionalize training via national curricula</w:t>
            </w:r>
            <w:r>
              <w:rPr>
                <w:rFonts w:cstheme="minorHAnsi"/>
                <w:sz w:val="18"/>
                <w:szCs w:val="18"/>
              </w:rPr>
              <w:t>,</w:t>
            </w:r>
            <w:r w:rsidRPr="00492B75">
              <w:rPr>
                <w:rFonts w:cstheme="minorHAnsi"/>
                <w:sz w:val="18"/>
                <w:szCs w:val="18"/>
              </w:rPr>
              <w:t xml:space="preserve"> implement </w:t>
            </w:r>
            <w:proofErr w:type="spellStart"/>
            <w:r w:rsidRPr="00492B75">
              <w:rPr>
                <w:rFonts w:cstheme="minorHAnsi"/>
                <w:sz w:val="18"/>
                <w:szCs w:val="18"/>
              </w:rPr>
              <w:t>ToT</w:t>
            </w:r>
            <w:proofErr w:type="spellEnd"/>
            <w:r w:rsidRPr="00492B75">
              <w:rPr>
                <w:rFonts w:cstheme="minorHAnsi"/>
                <w:sz w:val="18"/>
                <w:szCs w:val="18"/>
              </w:rPr>
              <w:t xml:space="preserve"> models</w:t>
            </w:r>
            <w:r>
              <w:rPr>
                <w:rFonts w:cstheme="minorHAnsi"/>
                <w:sz w:val="18"/>
                <w:szCs w:val="18"/>
              </w:rPr>
              <w:t>,</w:t>
            </w:r>
            <w:r w:rsidRPr="00492B75">
              <w:rPr>
                <w:rFonts w:cstheme="minorHAnsi"/>
                <w:sz w:val="18"/>
                <w:szCs w:val="18"/>
              </w:rPr>
              <w:t xml:space="preserve"> document procedures and tools into SOPs for institutional memory.</w:t>
            </w:r>
          </w:p>
        </w:tc>
        <w:tc>
          <w:tcPr>
            <w:tcW w:w="1080" w:type="dxa"/>
          </w:tcPr>
          <w:p w14:paraId="5392739C" w14:textId="40C528F5" w:rsidR="00A602E9" w:rsidRPr="00AC0422" w:rsidRDefault="00A602E9" w:rsidP="00A602E9">
            <w:pPr>
              <w:spacing w:after="120"/>
              <w:cnfStyle w:val="000000100000" w:firstRow="0" w:lastRow="0" w:firstColumn="0" w:lastColumn="0" w:oddVBand="0" w:evenVBand="0" w:oddHBand="1" w:evenHBand="0" w:firstRowFirstColumn="0" w:firstRowLastColumn="0" w:lastRowFirstColumn="0" w:lastRowLastColumn="0"/>
              <w:rPr>
                <w:rStyle w:val="normaltextrun"/>
                <w:rFonts w:cstheme="minorHAnsi"/>
                <w:bCs/>
                <w:sz w:val="18"/>
                <w:szCs w:val="18"/>
                <w:lang w:val="en-GB"/>
              </w:rPr>
            </w:pPr>
            <w:proofErr w:type="spellStart"/>
            <w:r w:rsidRPr="00492B75">
              <w:rPr>
                <w:rFonts w:cstheme="minorHAnsi"/>
                <w:sz w:val="18"/>
                <w:szCs w:val="18"/>
              </w:rPr>
              <w:t>MoWE</w:t>
            </w:r>
            <w:proofErr w:type="spellEnd"/>
            <w:r w:rsidRPr="00492B75">
              <w:rPr>
                <w:rFonts w:cstheme="minorHAnsi"/>
                <w:sz w:val="18"/>
                <w:szCs w:val="18"/>
              </w:rPr>
              <w:t>, EPA, UNDP</w:t>
            </w:r>
          </w:p>
        </w:tc>
      </w:tr>
    </w:tbl>
    <w:p w14:paraId="63C8D216" w14:textId="77777777" w:rsidR="0060451B" w:rsidRPr="00AC0422" w:rsidRDefault="0060451B" w:rsidP="0060451B">
      <w:pPr>
        <w:rPr>
          <w:rFonts w:asciiTheme="minorHAnsi" w:hAnsiTheme="minorHAnsi" w:cstheme="minorHAnsi"/>
        </w:rPr>
      </w:pPr>
    </w:p>
    <w:p w14:paraId="6BF57914" w14:textId="77777777" w:rsidR="00F74AFE" w:rsidRPr="00AC0422" w:rsidRDefault="00F74AFE" w:rsidP="00173FDC">
      <w:pPr>
        <w:rPr>
          <w:rFonts w:asciiTheme="minorHAnsi" w:hAnsiTheme="minorHAnsi" w:cstheme="minorHAnsi"/>
          <w:b/>
          <w:i/>
          <w:szCs w:val="20"/>
        </w:rPr>
      </w:pPr>
    </w:p>
    <w:p w14:paraId="0D6F45DB" w14:textId="77777777" w:rsidR="00F74AFE" w:rsidRPr="00AC0422" w:rsidRDefault="00F74AFE" w:rsidP="00173FDC">
      <w:pPr>
        <w:rPr>
          <w:rFonts w:asciiTheme="minorHAnsi" w:hAnsiTheme="minorHAnsi" w:cstheme="minorHAnsi"/>
          <w:b/>
          <w:i/>
          <w:szCs w:val="20"/>
        </w:rPr>
      </w:pPr>
    </w:p>
    <w:p w14:paraId="217CE79E" w14:textId="77777777" w:rsidR="00173FDC" w:rsidRPr="00AC0422" w:rsidRDefault="00173FDC" w:rsidP="00173FDC">
      <w:pPr>
        <w:spacing w:after="0"/>
        <w:jc w:val="left"/>
        <w:rPr>
          <w:rFonts w:asciiTheme="minorHAnsi" w:hAnsiTheme="minorHAnsi" w:cstheme="minorHAnsi"/>
          <w:b/>
          <w:bCs/>
          <w:szCs w:val="20"/>
        </w:rPr>
      </w:pPr>
      <w:r w:rsidRPr="00AC0422">
        <w:rPr>
          <w:rFonts w:asciiTheme="minorHAnsi" w:hAnsiTheme="minorHAnsi" w:cstheme="minorHAnsi"/>
          <w:szCs w:val="22"/>
        </w:rPr>
        <w:br w:type="page"/>
      </w:r>
    </w:p>
    <w:p w14:paraId="4FCE693F" w14:textId="77777777" w:rsidR="00173FDC" w:rsidRPr="00AC0422" w:rsidRDefault="00173FDC" w:rsidP="00173FDC">
      <w:pPr>
        <w:rPr>
          <w:rFonts w:asciiTheme="minorHAnsi" w:hAnsiTheme="minorHAnsi" w:cstheme="minorHAnsi"/>
        </w:rPr>
      </w:pPr>
      <w:r w:rsidRPr="00AC0422">
        <w:rPr>
          <w:rFonts w:asciiTheme="minorHAnsi" w:hAnsiTheme="minorHAnsi" w:cstheme="minorHAnsi"/>
        </w:rPr>
        <w:lastRenderedPageBreak/>
        <w:t xml:space="preserve"> </w:t>
      </w:r>
    </w:p>
    <w:p w14:paraId="28371D30" w14:textId="7397B8CC" w:rsidR="00173FDC" w:rsidRPr="00AC0422" w:rsidRDefault="00F74AFE" w:rsidP="006705C7">
      <w:pPr>
        <w:pStyle w:val="Heading2"/>
        <w:rPr>
          <w:rFonts w:asciiTheme="minorHAnsi" w:hAnsiTheme="minorHAnsi" w:cstheme="minorHAnsi"/>
          <w:sz w:val="24"/>
        </w:rPr>
      </w:pPr>
      <w:bookmarkStart w:id="50" w:name="_Toc488148564"/>
      <w:bookmarkStart w:id="51" w:name="_Toc40273953"/>
      <w:r w:rsidRPr="00AC0422">
        <w:rPr>
          <w:rFonts w:asciiTheme="minorHAnsi" w:hAnsiTheme="minorHAnsi" w:cstheme="minorHAnsi"/>
          <w:sz w:val="24"/>
        </w:rPr>
        <w:t xml:space="preserve">Annex </w:t>
      </w:r>
      <w:r w:rsidR="00D46E55" w:rsidRPr="00AC0422">
        <w:rPr>
          <w:rFonts w:asciiTheme="minorHAnsi" w:hAnsiTheme="minorHAnsi" w:cstheme="minorHAnsi"/>
          <w:sz w:val="24"/>
        </w:rPr>
        <w:t>F</w:t>
      </w:r>
      <w:r w:rsidR="00173FDC" w:rsidRPr="00AC0422">
        <w:rPr>
          <w:rFonts w:asciiTheme="minorHAnsi" w:hAnsiTheme="minorHAnsi" w:cstheme="minorHAnsi"/>
          <w:sz w:val="24"/>
        </w:rPr>
        <w:t xml:space="preserve">: </w:t>
      </w:r>
      <w:r w:rsidR="00173FDC" w:rsidRPr="00AC0422">
        <w:rPr>
          <w:rFonts w:asciiTheme="minorHAnsi" w:hAnsiTheme="minorHAnsi" w:cstheme="minorHAnsi"/>
          <w:sz w:val="24"/>
          <w:highlight w:val="yellow"/>
        </w:rPr>
        <w:t xml:space="preserve">UNDP Project Quality Assurance </w:t>
      </w:r>
      <w:commentRangeStart w:id="52"/>
      <w:commentRangeStart w:id="53"/>
      <w:r w:rsidR="00173FDC" w:rsidRPr="00AC0422">
        <w:rPr>
          <w:rFonts w:asciiTheme="minorHAnsi" w:hAnsiTheme="minorHAnsi" w:cstheme="minorHAnsi"/>
          <w:sz w:val="24"/>
          <w:highlight w:val="yellow"/>
        </w:rPr>
        <w:t>Report</w:t>
      </w:r>
      <w:bookmarkStart w:id="54" w:name="_Toc488148568"/>
      <w:bookmarkEnd w:id="50"/>
      <w:bookmarkEnd w:id="51"/>
      <w:commentRangeEnd w:id="52"/>
      <w:r w:rsidR="00DA2CCA">
        <w:rPr>
          <w:rStyle w:val="CommentReference"/>
          <w:rFonts w:ascii="Calibri" w:hAnsi="Calibri"/>
          <w:b w:val="0"/>
          <w:bCs w:val="0"/>
        </w:rPr>
        <w:commentReference w:id="52"/>
      </w:r>
      <w:commentRangeEnd w:id="53"/>
      <w:r w:rsidR="006B0DD8">
        <w:rPr>
          <w:rStyle w:val="CommentReference"/>
          <w:rFonts w:ascii="Calibri" w:hAnsi="Calibri"/>
          <w:b w:val="0"/>
          <w:bCs w:val="0"/>
        </w:rPr>
        <w:commentReference w:id="53"/>
      </w:r>
    </w:p>
    <w:bookmarkEnd w:id="54"/>
    <w:p w14:paraId="630B186D" w14:textId="77777777" w:rsidR="00682352" w:rsidRPr="00AC0422" w:rsidRDefault="00682352">
      <w:pPr>
        <w:spacing w:after="0"/>
        <w:jc w:val="left"/>
        <w:rPr>
          <w:rFonts w:asciiTheme="minorHAnsi" w:hAnsiTheme="minorHAnsi" w:cstheme="minorHAnsi"/>
          <w:b/>
        </w:rPr>
      </w:pPr>
    </w:p>
    <w:p w14:paraId="62D29C5D" w14:textId="02AB4A8A" w:rsidR="00173FDC" w:rsidRPr="00AC0422" w:rsidRDefault="00173FDC">
      <w:pPr>
        <w:spacing w:after="0"/>
        <w:jc w:val="left"/>
        <w:rPr>
          <w:rFonts w:asciiTheme="minorHAnsi" w:hAnsiTheme="minorHAnsi" w:cstheme="minorHAnsi"/>
          <w:b/>
        </w:rPr>
      </w:pPr>
    </w:p>
    <w:p w14:paraId="00573B25" w14:textId="247446CA" w:rsidR="00173FDC" w:rsidRPr="00AC0422" w:rsidRDefault="00173FDC">
      <w:pPr>
        <w:spacing w:after="0"/>
        <w:jc w:val="left"/>
        <w:rPr>
          <w:rFonts w:asciiTheme="minorHAnsi" w:hAnsiTheme="minorHAnsi" w:cstheme="minorHAnsi"/>
          <w:b/>
        </w:rPr>
      </w:pPr>
    </w:p>
    <w:p w14:paraId="1BCC6F2E" w14:textId="2A484708" w:rsidR="00173FDC" w:rsidRPr="00AC0422" w:rsidRDefault="00173FDC">
      <w:pPr>
        <w:spacing w:after="0"/>
        <w:jc w:val="left"/>
        <w:rPr>
          <w:rFonts w:asciiTheme="minorHAnsi" w:hAnsiTheme="minorHAnsi" w:cstheme="minorHAnsi"/>
          <w:b/>
        </w:rPr>
      </w:pPr>
    </w:p>
    <w:p w14:paraId="31D9D5CC" w14:textId="476D10A5" w:rsidR="00173FDC" w:rsidRPr="00AC0422" w:rsidRDefault="00173FDC">
      <w:pPr>
        <w:spacing w:after="0"/>
        <w:jc w:val="left"/>
        <w:rPr>
          <w:rFonts w:asciiTheme="minorHAnsi" w:hAnsiTheme="minorHAnsi" w:cstheme="minorHAnsi"/>
          <w:b/>
        </w:rPr>
      </w:pPr>
    </w:p>
    <w:p w14:paraId="3E245445" w14:textId="651C66C9" w:rsidR="00173FDC" w:rsidRPr="00AC0422" w:rsidRDefault="00173FDC">
      <w:pPr>
        <w:spacing w:after="0"/>
        <w:jc w:val="left"/>
        <w:rPr>
          <w:rFonts w:asciiTheme="minorHAnsi" w:hAnsiTheme="minorHAnsi" w:cstheme="minorHAnsi"/>
          <w:b/>
        </w:rPr>
      </w:pPr>
    </w:p>
    <w:p w14:paraId="1D76AC63" w14:textId="7F9CD4EA" w:rsidR="00173FDC" w:rsidRPr="00AC0422" w:rsidRDefault="00173FDC">
      <w:pPr>
        <w:spacing w:after="0"/>
        <w:jc w:val="left"/>
        <w:rPr>
          <w:rFonts w:asciiTheme="minorHAnsi" w:hAnsiTheme="minorHAnsi" w:cstheme="minorHAnsi"/>
          <w:b/>
        </w:rPr>
      </w:pPr>
    </w:p>
    <w:p w14:paraId="3EA1112A" w14:textId="7541CAB0" w:rsidR="00173FDC" w:rsidRPr="00AC0422" w:rsidRDefault="00173FDC">
      <w:pPr>
        <w:spacing w:after="0"/>
        <w:jc w:val="left"/>
        <w:rPr>
          <w:rFonts w:asciiTheme="minorHAnsi" w:hAnsiTheme="minorHAnsi" w:cstheme="minorHAnsi"/>
          <w:b/>
        </w:rPr>
      </w:pPr>
    </w:p>
    <w:p w14:paraId="7809B0AE" w14:textId="548E9B34" w:rsidR="00173FDC" w:rsidRPr="00AC0422" w:rsidRDefault="00173FDC">
      <w:pPr>
        <w:spacing w:after="0"/>
        <w:jc w:val="left"/>
        <w:rPr>
          <w:rFonts w:asciiTheme="minorHAnsi" w:hAnsiTheme="minorHAnsi" w:cstheme="minorHAnsi"/>
          <w:b/>
        </w:rPr>
      </w:pPr>
    </w:p>
    <w:p w14:paraId="7DE4FAC5" w14:textId="73CE9A33" w:rsidR="00173FDC" w:rsidRPr="00AC0422" w:rsidRDefault="00173FDC">
      <w:pPr>
        <w:spacing w:after="0"/>
        <w:jc w:val="left"/>
        <w:rPr>
          <w:rFonts w:asciiTheme="minorHAnsi" w:hAnsiTheme="minorHAnsi" w:cstheme="minorHAnsi"/>
          <w:b/>
        </w:rPr>
      </w:pPr>
    </w:p>
    <w:p w14:paraId="57FE844C" w14:textId="70A6E98A" w:rsidR="00173FDC" w:rsidRPr="00AC0422" w:rsidRDefault="00173FDC">
      <w:pPr>
        <w:spacing w:after="0"/>
        <w:jc w:val="left"/>
        <w:rPr>
          <w:rFonts w:asciiTheme="minorHAnsi" w:hAnsiTheme="minorHAnsi" w:cstheme="minorHAnsi"/>
          <w:b/>
        </w:rPr>
      </w:pPr>
    </w:p>
    <w:p w14:paraId="4E5A48C5" w14:textId="38D2574D" w:rsidR="00173FDC" w:rsidRPr="00AC0422" w:rsidRDefault="00173FDC">
      <w:pPr>
        <w:spacing w:after="0"/>
        <w:jc w:val="left"/>
        <w:rPr>
          <w:rFonts w:asciiTheme="minorHAnsi" w:hAnsiTheme="minorHAnsi" w:cstheme="minorHAnsi"/>
          <w:b/>
        </w:rPr>
      </w:pPr>
    </w:p>
    <w:p w14:paraId="786C039B" w14:textId="36CF04AC" w:rsidR="00173FDC" w:rsidRPr="00AC0422" w:rsidRDefault="00173FDC">
      <w:pPr>
        <w:spacing w:after="0"/>
        <w:jc w:val="left"/>
        <w:rPr>
          <w:rFonts w:asciiTheme="minorHAnsi" w:hAnsiTheme="minorHAnsi" w:cstheme="minorHAnsi"/>
          <w:b/>
        </w:rPr>
      </w:pPr>
    </w:p>
    <w:p w14:paraId="3EF2F9CD" w14:textId="41CDA167" w:rsidR="00173FDC" w:rsidRPr="00AC0422" w:rsidRDefault="00173FDC">
      <w:pPr>
        <w:spacing w:after="0"/>
        <w:jc w:val="left"/>
        <w:rPr>
          <w:rFonts w:asciiTheme="minorHAnsi" w:hAnsiTheme="minorHAnsi" w:cstheme="minorHAnsi"/>
          <w:b/>
        </w:rPr>
      </w:pPr>
    </w:p>
    <w:p w14:paraId="08B5CA62" w14:textId="59212D11" w:rsidR="00173FDC" w:rsidRPr="00AC0422" w:rsidRDefault="00173FDC">
      <w:pPr>
        <w:spacing w:after="0"/>
        <w:jc w:val="left"/>
        <w:rPr>
          <w:rFonts w:asciiTheme="minorHAnsi" w:hAnsiTheme="minorHAnsi" w:cstheme="minorHAnsi"/>
          <w:b/>
        </w:rPr>
      </w:pPr>
    </w:p>
    <w:p w14:paraId="68CABF3D" w14:textId="6FE6A745" w:rsidR="00173FDC" w:rsidRPr="00AC0422" w:rsidRDefault="00173FDC">
      <w:pPr>
        <w:spacing w:after="0"/>
        <w:jc w:val="left"/>
        <w:rPr>
          <w:rFonts w:asciiTheme="minorHAnsi" w:hAnsiTheme="minorHAnsi" w:cstheme="minorHAnsi"/>
          <w:b/>
        </w:rPr>
      </w:pPr>
    </w:p>
    <w:p w14:paraId="7EAC06D6" w14:textId="28FF6327" w:rsidR="00173FDC" w:rsidRPr="00AC0422" w:rsidRDefault="00173FDC">
      <w:pPr>
        <w:spacing w:after="0"/>
        <w:jc w:val="left"/>
        <w:rPr>
          <w:rFonts w:asciiTheme="minorHAnsi" w:hAnsiTheme="minorHAnsi" w:cstheme="minorHAnsi"/>
          <w:b/>
        </w:rPr>
      </w:pPr>
    </w:p>
    <w:p w14:paraId="688BA6C2" w14:textId="03B3D336" w:rsidR="00173FDC" w:rsidRPr="00AC0422" w:rsidRDefault="00173FDC">
      <w:pPr>
        <w:spacing w:after="0"/>
        <w:jc w:val="left"/>
        <w:rPr>
          <w:rFonts w:asciiTheme="minorHAnsi" w:hAnsiTheme="minorHAnsi" w:cstheme="minorHAnsi"/>
          <w:b/>
        </w:rPr>
      </w:pPr>
    </w:p>
    <w:p w14:paraId="24BA7504" w14:textId="0834BC32" w:rsidR="00173FDC" w:rsidRPr="00AC0422" w:rsidRDefault="00173FDC">
      <w:pPr>
        <w:spacing w:after="0"/>
        <w:jc w:val="left"/>
        <w:rPr>
          <w:rFonts w:asciiTheme="minorHAnsi" w:hAnsiTheme="minorHAnsi" w:cstheme="minorHAnsi"/>
          <w:b/>
        </w:rPr>
      </w:pPr>
    </w:p>
    <w:p w14:paraId="6A248C40" w14:textId="350798EC" w:rsidR="00173FDC" w:rsidRPr="00AC0422" w:rsidRDefault="00173FDC">
      <w:pPr>
        <w:spacing w:after="0"/>
        <w:jc w:val="left"/>
        <w:rPr>
          <w:rFonts w:asciiTheme="minorHAnsi" w:hAnsiTheme="minorHAnsi" w:cstheme="minorHAnsi"/>
          <w:b/>
        </w:rPr>
      </w:pPr>
    </w:p>
    <w:bookmarkEnd w:id="32"/>
    <w:bookmarkEnd w:id="33"/>
    <w:p w14:paraId="40CA6358" w14:textId="390E461E" w:rsidR="00D459CB" w:rsidRPr="00AC0422" w:rsidRDefault="00D459CB" w:rsidP="00F0218B">
      <w:pPr>
        <w:spacing w:after="0"/>
        <w:jc w:val="left"/>
        <w:rPr>
          <w:rFonts w:asciiTheme="minorHAnsi" w:hAnsiTheme="minorHAnsi" w:cstheme="minorHAnsi"/>
          <w:b/>
        </w:rPr>
      </w:pPr>
    </w:p>
    <w:sectPr w:rsidR="00D459CB" w:rsidRPr="00AC0422" w:rsidSect="00950B12">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2" w:author="Burcu Dagurkuden" w:date="2025-05-28T16:26:00Z" w:initials="BD">
    <w:p w14:paraId="46C13971" w14:textId="4FD7192A" w:rsidR="00DA2CCA" w:rsidRDefault="00DA2CCA" w:rsidP="00DA2CCA">
      <w:pPr>
        <w:jc w:val="left"/>
      </w:pPr>
      <w:r>
        <w:rPr>
          <w:rStyle w:val="CommentReference"/>
        </w:rPr>
        <w:annotationRef/>
      </w:r>
      <w:r>
        <w:rPr>
          <w:color w:val="000000"/>
          <w:szCs w:val="20"/>
        </w:rPr>
        <w:t>Co to provide either the link to QA report or share the word version</w:t>
      </w:r>
    </w:p>
  </w:comment>
  <w:comment w:id="53" w:author="Saliou Toure" w:date="2025-06-18T09:31:00Z" w:initials="ST">
    <w:p w14:paraId="56F8EE5C" w14:textId="77777777" w:rsidR="006B0DD8" w:rsidRDefault="006B0DD8" w:rsidP="006B0DD8">
      <w:pPr>
        <w:pStyle w:val="CommentText"/>
        <w:jc w:val="left"/>
      </w:pPr>
      <w:r>
        <w:rPr>
          <w:rStyle w:val="CommentReference"/>
        </w:rPr>
        <w:annotationRef/>
      </w:r>
      <w:r>
        <w:t>@Rana, please check and liaise with Arwa as needed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6C13971" w15:done="0"/>
  <w15:commentEx w15:paraId="56F8EE5C" w15:paraIdParent="46C1397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FB32E6F" w16cex:dateUtc="2025-05-28T13:26:00Z"/>
  <w16cex:commentExtensible w16cex:durableId="10A8595C" w16cex:dateUtc="2025-06-18T09: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6C13971" w16cid:durableId="4FB32E6F"/>
  <w16cid:commentId w16cid:paraId="56F8EE5C" w16cid:durableId="10A8595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560CC" w14:textId="77777777" w:rsidR="004F2082" w:rsidRDefault="004F2082">
      <w:r>
        <w:separator/>
      </w:r>
    </w:p>
  </w:endnote>
  <w:endnote w:type="continuationSeparator" w:id="0">
    <w:p w14:paraId="408237A5" w14:textId="77777777" w:rsidR="004F2082" w:rsidRDefault="004F2082">
      <w:r>
        <w:continuationSeparator/>
      </w:r>
    </w:p>
  </w:endnote>
  <w:endnote w:type="continuationNotice" w:id="1">
    <w:p w14:paraId="5B8A16B3" w14:textId="77777777" w:rsidR="004F2082" w:rsidRDefault="004F208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20B0604020202020204"/>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Sylfaen"/>
    <w:panose1 w:val="020B06040202020202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B0604020202020204"/>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pen Sans Light">
    <w:panose1 w:val="020B0306030504020204"/>
    <w:charset w:val="00"/>
    <w:family w:val="swiss"/>
    <w:pitch w:val="variable"/>
    <w:sig w:usb0="E00002EF" w:usb1="4000205B" w:usb2="00000028"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aford">
    <w:panose1 w:val="00000500000000000000"/>
    <w:charset w:val="00"/>
    <w:family w:val="auto"/>
    <w:pitch w:val="variable"/>
    <w:sig w:usb0="80000003" w:usb1="00000001"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E292A" w14:textId="69BA23BD" w:rsidR="00C84F16" w:rsidRPr="0086069F" w:rsidRDefault="00C84F16" w:rsidP="0003763F">
    <w:pPr>
      <w:pStyle w:val="Footer"/>
      <w:pBdr>
        <w:top w:val="single" w:sz="4" w:space="1" w:color="D9D9D9"/>
      </w:pBdr>
      <w:jc w:val="right"/>
      <w:rPr>
        <w:sz w:val="18"/>
        <w:szCs w:val="18"/>
      </w:rPr>
    </w:pPr>
    <w:r w:rsidRPr="0086069F">
      <w:rPr>
        <w:sz w:val="18"/>
        <w:szCs w:val="18"/>
      </w:rPr>
      <w:fldChar w:fldCharType="begin"/>
    </w:r>
    <w:r w:rsidRPr="0086069F">
      <w:rPr>
        <w:sz w:val="18"/>
        <w:szCs w:val="18"/>
      </w:rPr>
      <w:instrText xml:space="preserve"> PAGE   \* MERGEFORMAT </w:instrText>
    </w:r>
    <w:r w:rsidRPr="0086069F">
      <w:rPr>
        <w:sz w:val="18"/>
        <w:szCs w:val="18"/>
      </w:rPr>
      <w:fldChar w:fldCharType="separate"/>
    </w:r>
    <w:r w:rsidR="0048470E">
      <w:rPr>
        <w:noProof/>
        <w:sz w:val="18"/>
        <w:szCs w:val="18"/>
      </w:rPr>
      <w:t>25</w:t>
    </w:r>
    <w:r w:rsidRPr="0086069F">
      <w:rPr>
        <w:noProof/>
        <w:sz w:val="18"/>
        <w:szCs w:val="18"/>
      </w:rPr>
      <w:fldChar w:fldCharType="end"/>
    </w:r>
    <w:r w:rsidRPr="0086069F">
      <w:rPr>
        <w:sz w:val="18"/>
        <w:szCs w:val="18"/>
      </w:rPr>
      <w:t xml:space="preserve"> | </w:t>
    </w:r>
    <w:r w:rsidRPr="0086069F">
      <w:rPr>
        <w:color w:val="7F7F7F"/>
        <w:spacing w:val="60"/>
        <w:sz w:val="18"/>
        <w:szCs w:val="18"/>
      </w:rPr>
      <w:t>Page</w:t>
    </w:r>
  </w:p>
  <w:p w14:paraId="631DFC62" w14:textId="77777777" w:rsidR="00C84F16" w:rsidRDefault="00C84F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0A796" w14:textId="515D8EC0" w:rsidR="00C84F16" w:rsidRPr="00CE62FD" w:rsidRDefault="00C84F16" w:rsidP="003F5615">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CE62FD">
      <w:rPr>
        <w:sz w:val="18"/>
        <w:szCs w:val="18"/>
      </w:rPr>
      <w:fldChar w:fldCharType="begin"/>
    </w:r>
    <w:r w:rsidRPr="00CE62FD">
      <w:rPr>
        <w:sz w:val="18"/>
        <w:szCs w:val="18"/>
      </w:rPr>
      <w:instrText xml:space="preserve"> PAGE   \* MERGEFORMAT </w:instrText>
    </w:r>
    <w:r w:rsidRPr="00CE62FD">
      <w:rPr>
        <w:sz w:val="18"/>
        <w:szCs w:val="18"/>
      </w:rPr>
      <w:fldChar w:fldCharType="separate"/>
    </w:r>
    <w:r w:rsidR="0048470E">
      <w:rPr>
        <w:noProof/>
        <w:sz w:val="18"/>
        <w:szCs w:val="18"/>
      </w:rPr>
      <w:t>32</w:t>
    </w:r>
    <w:r w:rsidRPr="00CE62FD">
      <w:rPr>
        <w:noProof/>
        <w:sz w:val="18"/>
        <w:szCs w:val="18"/>
      </w:rPr>
      <w:fldChar w:fldCharType="end"/>
    </w:r>
    <w:r w:rsidRPr="00CE62FD">
      <w:rPr>
        <w:sz w:val="18"/>
        <w:szCs w:val="18"/>
      </w:rPr>
      <w:t xml:space="preserve"> | </w:t>
    </w:r>
    <w:r w:rsidRPr="00CE62FD">
      <w:rPr>
        <w:color w:val="7F7F7F"/>
        <w:spacing w:val="60"/>
        <w:sz w:val="18"/>
        <w:szCs w:val="18"/>
      </w:rPr>
      <w:t>Page</w:t>
    </w:r>
  </w:p>
  <w:p w14:paraId="2479D646" w14:textId="77777777" w:rsidR="00C84F16" w:rsidRDefault="00C84F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ECFC1" w14:textId="77777777" w:rsidR="00C84F16" w:rsidRDefault="00C84F16" w:rsidP="00FD3A8F">
    <w:pPr>
      <w:pStyle w:val="Header"/>
    </w:pPr>
  </w:p>
  <w:p w14:paraId="4DF4F3DB" w14:textId="7C200471" w:rsidR="00C84F16" w:rsidRDefault="00C84F16" w:rsidP="0003763F">
    <w:pPr>
      <w:pStyle w:val="Footer"/>
      <w:pBdr>
        <w:top w:val="single" w:sz="4" w:space="1" w:color="D9D9D9"/>
      </w:pBdr>
      <w:jc w:val="right"/>
    </w:pPr>
    <w:r>
      <w:fldChar w:fldCharType="begin"/>
    </w:r>
    <w:r>
      <w:instrText xml:space="preserve"> PAGE   \* MERGEFORMAT </w:instrText>
    </w:r>
    <w:r>
      <w:fldChar w:fldCharType="separate"/>
    </w:r>
    <w:r w:rsidR="0048470E">
      <w:rPr>
        <w:noProof/>
      </w:rPr>
      <w:t>34</w:t>
    </w:r>
    <w:r>
      <w:rPr>
        <w:noProof/>
      </w:rPr>
      <w:fldChar w:fldCharType="end"/>
    </w:r>
    <w:r>
      <w:t xml:space="preserve"> | </w:t>
    </w:r>
    <w:r w:rsidRPr="0003763F">
      <w:rPr>
        <w:color w:val="7F7F7F"/>
        <w:spacing w:val="60"/>
      </w:rPr>
      <w:t>Page</w:t>
    </w:r>
  </w:p>
  <w:p w14:paraId="493C031B" w14:textId="77777777" w:rsidR="00C84F16" w:rsidRDefault="00C84F16"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8D8C0" w14:textId="77777777" w:rsidR="004F2082" w:rsidRDefault="004F2082">
      <w:r>
        <w:separator/>
      </w:r>
    </w:p>
  </w:footnote>
  <w:footnote w:type="continuationSeparator" w:id="0">
    <w:p w14:paraId="56515769" w14:textId="77777777" w:rsidR="004F2082" w:rsidRDefault="004F2082">
      <w:r>
        <w:continuationSeparator/>
      </w:r>
    </w:p>
  </w:footnote>
  <w:footnote w:type="continuationNotice" w:id="1">
    <w:p w14:paraId="725A3C38" w14:textId="77777777" w:rsidR="004F2082" w:rsidRDefault="004F2082">
      <w:pPr>
        <w:spacing w:after="0"/>
      </w:pPr>
    </w:p>
  </w:footnote>
  <w:footnote w:id="2">
    <w:p w14:paraId="36F3EAFD" w14:textId="77777777" w:rsidR="009526AD" w:rsidRPr="00E07879" w:rsidRDefault="009526AD" w:rsidP="009526AD">
      <w:pPr>
        <w:pStyle w:val="FootnoteText"/>
        <w:rPr>
          <w:sz w:val="16"/>
          <w:szCs w:val="16"/>
        </w:rPr>
      </w:pPr>
      <w:r w:rsidRPr="00E07879">
        <w:rPr>
          <w:rStyle w:val="FootnoteReference"/>
          <w:sz w:val="16"/>
          <w:szCs w:val="16"/>
        </w:rPr>
        <w:footnoteRef/>
      </w:r>
      <w:r w:rsidRPr="00E07879">
        <w:rPr>
          <w:sz w:val="16"/>
          <w:szCs w:val="16"/>
        </w:rPr>
        <w:t xml:space="preserve"> Country </w:t>
      </w:r>
      <w:proofErr w:type="spellStart"/>
      <w:r w:rsidRPr="00E07879">
        <w:rPr>
          <w:sz w:val="16"/>
          <w:szCs w:val="16"/>
        </w:rPr>
        <w:t>Programme</w:t>
      </w:r>
      <w:proofErr w:type="spellEnd"/>
      <w:r w:rsidRPr="00E07879">
        <w:rPr>
          <w:sz w:val="16"/>
          <w:szCs w:val="16"/>
        </w:rPr>
        <w:t xml:space="preserve"> (2024). GCF. https://www.greenclimate.fund/sites/default/files/document/yemen-country-programme.pdf</w:t>
      </w:r>
    </w:p>
  </w:footnote>
  <w:footnote w:id="3">
    <w:p w14:paraId="468AC2AD" w14:textId="77777777" w:rsidR="009526AD" w:rsidRPr="004033EE" w:rsidRDefault="009526AD" w:rsidP="009526AD">
      <w:pPr>
        <w:pStyle w:val="FootnoteText"/>
        <w:rPr>
          <w:sz w:val="16"/>
          <w:szCs w:val="16"/>
        </w:rPr>
      </w:pPr>
      <w:r w:rsidRPr="004033EE">
        <w:rPr>
          <w:rStyle w:val="FootnoteReference"/>
          <w:sz w:val="16"/>
          <w:szCs w:val="16"/>
        </w:rPr>
        <w:footnoteRef/>
      </w:r>
      <w:r w:rsidRPr="004033EE">
        <w:rPr>
          <w:sz w:val="16"/>
          <w:szCs w:val="16"/>
        </w:rPr>
        <w:t xml:space="preserve"> </w:t>
      </w:r>
      <w:hyperlink r:id="rId1" w:history="1">
        <w:r w:rsidRPr="004033EE">
          <w:rPr>
            <w:rStyle w:val="Hyperlink"/>
            <w:sz w:val="16"/>
            <w:szCs w:val="16"/>
          </w:rPr>
          <w:t>https://www.adaptation-undp.org/explore/arab-states/yemen</w:t>
        </w:r>
      </w:hyperlink>
      <w:r w:rsidRPr="004033EE">
        <w:rPr>
          <w:sz w:val="16"/>
          <w:szCs w:val="16"/>
        </w:rPr>
        <w:t xml:space="preserve"> </w:t>
      </w:r>
    </w:p>
  </w:footnote>
  <w:footnote w:id="4">
    <w:p w14:paraId="545B4DB9" w14:textId="77777777" w:rsidR="009526AD" w:rsidRPr="00E07879" w:rsidRDefault="009526AD" w:rsidP="009526AD">
      <w:pPr>
        <w:pStyle w:val="FootnoteText"/>
        <w:rPr>
          <w:sz w:val="16"/>
          <w:szCs w:val="16"/>
        </w:rPr>
      </w:pPr>
      <w:r w:rsidRPr="00E07879">
        <w:rPr>
          <w:rStyle w:val="FootnoteReference"/>
          <w:sz w:val="16"/>
          <w:szCs w:val="16"/>
        </w:rPr>
        <w:footnoteRef/>
      </w:r>
      <w:r w:rsidRPr="00E07879">
        <w:rPr>
          <w:sz w:val="16"/>
          <w:szCs w:val="16"/>
        </w:rPr>
        <w:t xml:space="preserve"> </w:t>
      </w:r>
      <w:hyperlink r:id="rId2" w:history="1">
        <w:r w:rsidRPr="00E07879">
          <w:rPr>
            <w:rStyle w:val="Hyperlink"/>
            <w:sz w:val="16"/>
            <w:szCs w:val="16"/>
          </w:rPr>
          <w:t>https://www.undp.org/arab-states/publications/impact-climate-change-human-development-yemen</w:t>
        </w:r>
      </w:hyperlink>
      <w:r w:rsidRPr="00E07879">
        <w:rPr>
          <w:sz w:val="16"/>
          <w:szCs w:val="16"/>
        </w:rPr>
        <w:t xml:space="preserve"> </w:t>
      </w:r>
    </w:p>
  </w:footnote>
  <w:footnote w:id="5">
    <w:p w14:paraId="4DC19B1B" w14:textId="77777777" w:rsidR="009526AD" w:rsidRDefault="009526AD" w:rsidP="009526AD">
      <w:pPr>
        <w:pStyle w:val="FootnoteText"/>
      </w:pPr>
      <w:r w:rsidRPr="004033EE">
        <w:rPr>
          <w:rStyle w:val="FootnoteReference"/>
          <w:sz w:val="16"/>
          <w:szCs w:val="16"/>
        </w:rPr>
        <w:footnoteRef/>
      </w:r>
      <w:r w:rsidRPr="004033EE">
        <w:rPr>
          <w:sz w:val="16"/>
          <w:szCs w:val="16"/>
        </w:rPr>
        <w:t xml:space="preserve"> https://documents1.worldbank.org/curated/en/099111824082514197/pdf/P5006381e44f0109719b871d68f6833548e.pdf</w:t>
      </w:r>
    </w:p>
  </w:footnote>
  <w:footnote w:id="6">
    <w:p w14:paraId="1768400A" w14:textId="77777777" w:rsidR="009526AD" w:rsidRPr="00FB6E05" w:rsidRDefault="009526AD" w:rsidP="009526AD">
      <w:pPr>
        <w:pStyle w:val="FootnoteText"/>
        <w:rPr>
          <w:sz w:val="16"/>
          <w:szCs w:val="16"/>
        </w:rPr>
      </w:pPr>
      <w:r w:rsidRPr="00FB6E05">
        <w:rPr>
          <w:rStyle w:val="FootnoteReference"/>
          <w:sz w:val="16"/>
          <w:szCs w:val="16"/>
        </w:rPr>
        <w:footnoteRef/>
      </w:r>
      <w:r w:rsidRPr="00FB6E05">
        <w:rPr>
          <w:sz w:val="16"/>
          <w:szCs w:val="16"/>
        </w:rPr>
        <w:t xml:space="preserve"> Climate Risk Profile: Yemen (2023): The World Bank Group</w:t>
      </w:r>
    </w:p>
  </w:footnote>
  <w:footnote w:id="7">
    <w:p w14:paraId="156D8252" w14:textId="77777777" w:rsidR="009526AD" w:rsidRDefault="009526AD" w:rsidP="009526AD">
      <w:pPr>
        <w:pStyle w:val="FootnoteText"/>
      </w:pPr>
      <w:r w:rsidRPr="00FB6E05">
        <w:rPr>
          <w:rStyle w:val="FootnoteReference"/>
          <w:sz w:val="16"/>
          <w:szCs w:val="16"/>
        </w:rPr>
        <w:footnoteRef/>
      </w:r>
      <w:r w:rsidRPr="00FB6E05">
        <w:rPr>
          <w:sz w:val="16"/>
          <w:szCs w:val="16"/>
        </w:rPr>
        <w:t xml:space="preserve"> Using the WB Climate change Knowledge Portal. </w:t>
      </w:r>
      <w:hyperlink r:id="rId3" w:history="1">
        <w:r w:rsidRPr="00FB6E05">
          <w:rPr>
            <w:rStyle w:val="Hyperlink"/>
            <w:sz w:val="16"/>
            <w:szCs w:val="16"/>
          </w:rPr>
          <w:t>https://climateknowledgeportal.worldbank.org/country/yemen-rep/climate-data-projections</w:t>
        </w:r>
      </w:hyperlink>
      <w:r>
        <w:rPr>
          <w:sz w:val="16"/>
          <w:szCs w:val="16"/>
        </w:rPr>
        <w:t xml:space="preserve"> </w:t>
      </w:r>
    </w:p>
  </w:footnote>
  <w:footnote w:id="8">
    <w:p w14:paraId="252D5098" w14:textId="77777777" w:rsidR="009526AD" w:rsidRPr="000C698F" w:rsidRDefault="009526AD" w:rsidP="009526AD">
      <w:pPr>
        <w:pStyle w:val="FootnoteText"/>
        <w:rPr>
          <w:sz w:val="16"/>
          <w:szCs w:val="16"/>
        </w:rPr>
      </w:pPr>
      <w:r w:rsidRPr="00764DF7">
        <w:rPr>
          <w:rStyle w:val="FootnoteReference"/>
          <w:sz w:val="16"/>
          <w:szCs w:val="16"/>
        </w:rPr>
        <w:footnoteRef/>
      </w:r>
      <w:r w:rsidRPr="00764DF7">
        <w:rPr>
          <w:sz w:val="16"/>
          <w:szCs w:val="16"/>
        </w:rPr>
        <w:t xml:space="preserve"> Development indicators are </w:t>
      </w:r>
      <w:r>
        <w:rPr>
          <w:sz w:val="16"/>
          <w:szCs w:val="16"/>
        </w:rPr>
        <w:t xml:space="preserve">mainly </w:t>
      </w:r>
      <w:r w:rsidRPr="00764DF7">
        <w:rPr>
          <w:sz w:val="16"/>
          <w:szCs w:val="16"/>
        </w:rPr>
        <w:t xml:space="preserve">derived from the World Bank Human Development Report. </w:t>
      </w:r>
      <w:hyperlink r:id="rId4" w:history="1">
        <w:r w:rsidRPr="00764DF7">
          <w:rPr>
            <w:rStyle w:val="Hyperlink"/>
            <w:sz w:val="16"/>
            <w:szCs w:val="16"/>
          </w:rPr>
          <w:t>https://databank.worldbank.org/Human-development-index/id/363d401b</w:t>
        </w:r>
      </w:hyperlink>
      <w:r w:rsidRPr="00764DF7">
        <w:rPr>
          <w:sz w:val="16"/>
          <w:szCs w:val="16"/>
        </w:rPr>
        <w:t xml:space="preserve"> </w:t>
      </w:r>
    </w:p>
  </w:footnote>
  <w:footnote w:id="9">
    <w:p w14:paraId="567991A9" w14:textId="77777777" w:rsidR="009526AD" w:rsidRPr="004033EE" w:rsidRDefault="009526AD" w:rsidP="009526AD">
      <w:pPr>
        <w:pStyle w:val="FootnoteText"/>
        <w:rPr>
          <w:sz w:val="16"/>
          <w:szCs w:val="16"/>
        </w:rPr>
      </w:pPr>
      <w:r w:rsidRPr="004033EE">
        <w:rPr>
          <w:rStyle w:val="FootnoteReference"/>
          <w:sz w:val="16"/>
          <w:szCs w:val="16"/>
        </w:rPr>
        <w:footnoteRef/>
      </w:r>
      <w:r w:rsidRPr="004033EE">
        <w:rPr>
          <w:sz w:val="16"/>
          <w:szCs w:val="16"/>
        </w:rPr>
        <w:t xml:space="preserve"> </w:t>
      </w:r>
      <w:hyperlink r:id="rId5" w:history="1">
        <w:r w:rsidRPr="00124B9D">
          <w:rPr>
            <w:rStyle w:val="Hyperlink"/>
            <w:sz w:val="16"/>
            <w:szCs w:val="16"/>
          </w:rPr>
          <w:t>https://reliefweb.int/report/yemen/climate-change-impacts-yemen-and-adaptation-strategies</w:t>
        </w:r>
      </w:hyperlink>
    </w:p>
  </w:footnote>
  <w:footnote w:id="10">
    <w:p w14:paraId="10D5F450" w14:textId="77777777" w:rsidR="009526AD" w:rsidRPr="005E0315" w:rsidRDefault="009526AD" w:rsidP="009526AD">
      <w:pPr>
        <w:pStyle w:val="FootnoteText"/>
        <w:rPr>
          <w:sz w:val="16"/>
          <w:szCs w:val="16"/>
        </w:rPr>
      </w:pPr>
      <w:r w:rsidRPr="004033EE">
        <w:rPr>
          <w:rStyle w:val="FootnoteReference"/>
          <w:sz w:val="16"/>
          <w:szCs w:val="16"/>
        </w:rPr>
        <w:footnoteRef/>
      </w:r>
      <w:r w:rsidRPr="004033EE">
        <w:rPr>
          <w:sz w:val="16"/>
          <w:szCs w:val="16"/>
        </w:rPr>
        <w:t xml:space="preserve"> </w:t>
      </w:r>
      <w:hyperlink r:id="rId6" w:history="1">
        <w:r w:rsidRPr="00124B9D">
          <w:rPr>
            <w:rStyle w:val="Hyperlink"/>
            <w:sz w:val="16"/>
            <w:szCs w:val="16"/>
          </w:rPr>
          <w:t>https://www.oxfam.org/en/yemen-brink-conflict-pushing-millions-towards-famine</w:t>
        </w:r>
      </w:hyperlink>
    </w:p>
  </w:footnote>
  <w:footnote w:id="11">
    <w:p w14:paraId="7B0A5476" w14:textId="77777777" w:rsidR="009526AD" w:rsidRPr="00764DF7" w:rsidRDefault="009526AD" w:rsidP="009526AD">
      <w:pPr>
        <w:pStyle w:val="FootnoteText"/>
        <w:rPr>
          <w:sz w:val="16"/>
          <w:szCs w:val="16"/>
        </w:rPr>
      </w:pPr>
      <w:r w:rsidRPr="00764DF7">
        <w:rPr>
          <w:rStyle w:val="FootnoteReference"/>
          <w:sz w:val="16"/>
          <w:szCs w:val="16"/>
        </w:rPr>
        <w:footnoteRef/>
      </w:r>
      <w:r w:rsidRPr="00764DF7">
        <w:rPr>
          <w:sz w:val="16"/>
          <w:szCs w:val="16"/>
        </w:rPr>
        <w:t xml:space="preserve"> UNDP Human Development Report </w:t>
      </w:r>
      <w:hyperlink r:id="rId7" w:anchor="/indicies/GII" w:history="1">
        <w:r w:rsidRPr="00764DF7">
          <w:rPr>
            <w:rStyle w:val="Hyperlink"/>
            <w:sz w:val="16"/>
            <w:szCs w:val="16"/>
          </w:rPr>
          <w:t>https://hdr.undp.org/data-center/thematic-composite-indices/gender-inequality-index#/indicies/GII</w:t>
        </w:r>
      </w:hyperlink>
      <w:r w:rsidRPr="00764DF7">
        <w:rPr>
          <w:sz w:val="16"/>
          <w:szCs w:val="16"/>
        </w:rPr>
        <w:t xml:space="preserve"> </w:t>
      </w:r>
    </w:p>
  </w:footnote>
  <w:footnote w:id="12">
    <w:p w14:paraId="565723EF" w14:textId="77777777" w:rsidR="009526AD" w:rsidRPr="007B432D" w:rsidRDefault="009526AD" w:rsidP="009526AD">
      <w:pPr>
        <w:pStyle w:val="FootnoteText"/>
        <w:rPr>
          <w:lang w:val="en-GB"/>
        </w:rPr>
      </w:pPr>
      <w:r>
        <w:rPr>
          <w:rStyle w:val="FootnoteReference"/>
        </w:rPr>
        <w:footnoteRef/>
      </w:r>
      <w:r>
        <w:t xml:space="preserve"> </w:t>
      </w:r>
      <w:r w:rsidRPr="007B432D">
        <w:rPr>
          <w:rFonts w:ascii="Calibri" w:hAnsi="Calibri" w:cs="Calibri"/>
          <w:sz w:val="16"/>
          <w:szCs w:val="16"/>
        </w:rPr>
        <w:t>World Bank’s Yemen Country Climate and Development report https://documents1.worldbank.org/curated/en/099111824082514197/pdf/P5006381e44f0109719b871d68f6833548e.pdf</w:t>
      </w:r>
    </w:p>
  </w:footnote>
  <w:footnote w:id="13">
    <w:p w14:paraId="680A6568" w14:textId="77777777" w:rsidR="009526AD" w:rsidRPr="00FE797F" w:rsidRDefault="009526AD" w:rsidP="009526AD">
      <w:pPr>
        <w:pStyle w:val="FootnoteText"/>
        <w:rPr>
          <w:sz w:val="16"/>
          <w:szCs w:val="16"/>
        </w:rPr>
      </w:pPr>
      <w:r w:rsidRPr="00FE797F">
        <w:rPr>
          <w:rStyle w:val="FootnoteReference"/>
          <w:sz w:val="16"/>
          <w:szCs w:val="16"/>
        </w:rPr>
        <w:footnoteRef/>
      </w:r>
      <w:r w:rsidRPr="00FE797F">
        <w:rPr>
          <w:sz w:val="16"/>
          <w:szCs w:val="16"/>
        </w:rPr>
        <w:t xml:space="preserve"> </w:t>
      </w:r>
      <w:hyperlink r:id="rId8" w:history="1">
        <w:r w:rsidRPr="0087476D">
          <w:rPr>
            <w:rStyle w:val="Hyperlink"/>
            <w:sz w:val="16"/>
            <w:szCs w:val="16"/>
          </w:rPr>
          <w:t>https://www.undp.org/arab-states/publications/impact-climate-change-human-development-yemen</w:t>
        </w:r>
      </w:hyperlink>
      <w:r>
        <w:rPr>
          <w:sz w:val="16"/>
          <w:szCs w:val="16"/>
        </w:rPr>
        <w:t xml:space="preserve"> </w:t>
      </w:r>
    </w:p>
  </w:footnote>
  <w:footnote w:id="14">
    <w:p w14:paraId="71E141F6" w14:textId="77777777" w:rsidR="009526AD" w:rsidRPr="009F7016" w:rsidRDefault="009526AD" w:rsidP="009526AD">
      <w:pPr>
        <w:pStyle w:val="FootnoteText"/>
        <w:rPr>
          <w:sz w:val="16"/>
          <w:szCs w:val="16"/>
        </w:rPr>
      </w:pPr>
      <w:r>
        <w:rPr>
          <w:rStyle w:val="FootnoteReference"/>
        </w:rPr>
        <w:footnoteRef/>
      </w:r>
      <w:r>
        <w:t xml:space="preserve"> </w:t>
      </w:r>
      <w:r w:rsidRPr="009F7016">
        <w:rPr>
          <w:sz w:val="16"/>
          <w:szCs w:val="16"/>
        </w:rPr>
        <w:t xml:space="preserve">Yemen Country Climate and Development Report, World Bank (2024). </w:t>
      </w:r>
      <w:hyperlink r:id="rId9" w:history="1">
        <w:r w:rsidRPr="009F7016">
          <w:rPr>
            <w:rStyle w:val="Hyperlink"/>
            <w:sz w:val="16"/>
            <w:szCs w:val="16"/>
          </w:rPr>
          <w:t>https://openknowledge.worldbank.org/server/api/core/bitstreams/45f4c808-a757-4d01-9aef-b9a4f37d6c7c/content</w:t>
        </w:r>
      </w:hyperlink>
      <w:r w:rsidRPr="009F7016">
        <w:rPr>
          <w:sz w:val="16"/>
          <w:szCs w:val="16"/>
        </w:rPr>
        <w:t xml:space="preserve">  </w:t>
      </w:r>
    </w:p>
  </w:footnote>
  <w:footnote w:id="15">
    <w:p w14:paraId="69AC6BE2" w14:textId="77777777" w:rsidR="009526AD" w:rsidRPr="00D20331" w:rsidRDefault="009526AD" w:rsidP="009526AD">
      <w:pPr>
        <w:pStyle w:val="FootnoteText"/>
        <w:rPr>
          <w:sz w:val="16"/>
          <w:szCs w:val="16"/>
        </w:rPr>
      </w:pPr>
      <w:r w:rsidRPr="00D20331">
        <w:rPr>
          <w:rStyle w:val="FootnoteReference"/>
          <w:sz w:val="16"/>
          <w:szCs w:val="16"/>
        </w:rPr>
        <w:footnoteRef/>
      </w:r>
      <w:r w:rsidRPr="00D20331">
        <w:rPr>
          <w:sz w:val="16"/>
          <w:szCs w:val="16"/>
        </w:rPr>
        <w:t xml:space="preserve"> Yemen’s Third National Communication to the UNFCCC (2018). </w:t>
      </w:r>
    </w:p>
  </w:footnote>
  <w:footnote w:id="16">
    <w:p w14:paraId="16B39E23" w14:textId="77777777" w:rsidR="009526AD" w:rsidRPr="00521409" w:rsidRDefault="009526AD" w:rsidP="009526AD">
      <w:pPr>
        <w:pStyle w:val="FootnoteText"/>
        <w:rPr>
          <w:sz w:val="16"/>
          <w:szCs w:val="16"/>
          <w:lang w:val="fr-FR"/>
        </w:rPr>
      </w:pPr>
      <w:r w:rsidRPr="00D20331">
        <w:rPr>
          <w:rStyle w:val="FootnoteReference"/>
          <w:sz w:val="16"/>
          <w:szCs w:val="16"/>
        </w:rPr>
        <w:footnoteRef/>
      </w:r>
      <w:r w:rsidRPr="00D20331">
        <w:rPr>
          <w:sz w:val="16"/>
          <w:szCs w:val="16"/>
        </w:rPr>
        <w:t xml:space="preserve"> United Nations Development </w:t>
      </w:r>
      <w:proofErr w:type="spellStart"/>
      <w:r w:rsidRPr="00D20331">
        <w:rPr>
          <w:sz w:val="16"/>
          <w:szCs w:val="16"/>
        </w:rPr>
        <w:t>Programme</w:t>
      </w:r>
      <w:proofErr w:type="spellEnd"/>
      <w:r w:rsidRPr="00D20331">
        <w:rPr>
          <w:sz w:val="16"/>
          <w:szCs w:val="16"/>
        </w:rPr>
        <w:t xml:space="preserve"> (UNDP). </w:t>
      </w:r>
      <w:r w:rsidRPr="00521409">
        <w:rPr>
          <w:sz w:val="16"/>
          <w:szCs w:val="16"/>
          <w:lang w:val="fr-FR"/>
        </w:rPr>
        <w:t xml:space="preserve">(2020). </w:t>
      </w:r>
      <w:proofErr w:type="spellStart"/>
      <w:r w:rsidRPr="00521409">
        <w:rPr>
          <w:i/>
          <w:iCs/>
          <w:sz w:val="16"/>
          <w:szCs w:val="16"/>
          <w:lang w:val="fr-FR"/>
        </w:rPr>
        <w:t>Yemen</w:t>
      </w:r>
      <w:proofErr w:type="spellEnd"/>
      <w:r w:rsidRPr="00521409">
        <w:rPr>
          <w:i/>
          <w:iCs/>
          <w:sz w:val="16"/>
          <w:szCs w:val="16"/>
          <w:lang w:val="fr-FR"/>
        </w:rPr>
        <w:t xml:space="preserve"> </w:t>
      </w:r>
      <w:proofErr w:type="spellStart"/>
      <w:r w:rsidRPr="00521409">
        <w:rPr>
          <w:i/>
          <w:iCs/>
          <w:sz w:val="16"/>
          <w:szCs w:val="16"/>
          <w:lang w:val="fr-FR"/>
        </w:rPr>
        <w:t>Climate</w:t>
      </w:r>
      <w:proofErr w:type="spellEnd"/>
      <w:r w:rsidRPr="00521409">
        <w:rPr>
          <w:i/>
          <w:iCs/>
          <w:sz w:val="16"/>
          <w:szCs w:val="16"/>
          <w:lang w:val="fr-FR"/>
        </w:rPr>
        <w:t xml:space="preserve"> Change Adaptation </w:t>
      </w:r>
      <w:proofErr w:type="spellStart"/>
      <w:r w:rsidRPr="00521409">
        <w:rPr>
          <w:i/>
          <w:iCs/>
          <w:sz w:val="16"/>
          <w:szCs w:val="16"/>
          <w:lang w:val="fr-FR"/>
        </w:rPr>
        <w:t>Strategies</w:t>
      </w:r>
      <w:proofErr w:type="spellEnd"/>
      <w:r w:rsidRPr="00521409">
        <w:rPr>
          <w:i/>
          <w:iCs/>
          <w:sz w:val="16"/>
          <w:szCs w:val="16"/>
          <w:lang w:val="fr-FR"/>
        </w:rPr>
        <w:t>.</w:t>
      </w:r>
    </w:p>
  </w:footnote>
  <w:footnote w:id="17">
    <w:p w14:paraId="03C660D0" w14:textId="77777777" w:rsidR="009526AD" w:rsidRPr="00D20331" w:rsidRDefault="009526AD" w:rsidP="009526AD">
      <w:pPr>
        <w:pStyle w:val="FootnoteText"/>
        <w:rPr>
          <w:sz w:val="16"/>
          <w:szCs w:val="16"/>
        </w:rPr>
      </w:pPr>
      <w:r w:rsidRPr="00D20331">
        <w:rPr>
          <w:rStyle w:val="FootnoteReference"/>
          <w:sz w:val="16"/>
          <w:szCs w:val="16"/>
        </w:rPr>
        <w:footnoteRef/>
      </w:r>
      <w:r w:rsidRPr="00D20331">
        <w:rPr>
          <w:sz w:val="16"/>
          <w:szCs w:val="16"/>
        </w:rPr>
        <w:t xml:space="preserve"> National Adaptation </w:t>
      </w:r>
      <w:proofErr w:type="spellStart"/>
      <w:r w:rsidRPr="00D20331">
        <w:rPr>
          <w:sz w:val="16"/>
          <w:szCs w:val="16"/>
        </w:rPr>
        <w:t>Programme</w:t>
      </w:r>
      <w:proofErr w:type="spellEnd"/>
      <w:r w:rsidRPr="00D20331">
        <w:rPr>
          <w:sz w:val="16"/>
          <w:szCs w:val="16"/>
        </w:rPr>
        <w:t xml:space="preserve"> of Action (NAPA) – Yemen. (2009).</w:t>
      </w:r>
    </w:p>
  </w:footnote>
  <w:footnote w:id="18">
    <w:p w14:paraId="6C7CB299" w14:textId="77777777" w:rsidR="009526AD" w:rsidRPr="00D20331" w:rsidRDefault="009526AD" w:rsidP="009526AD">
      <w:pPr>
        <w:pStyle w:val="FootnoteText"/>
        <w:rPr>
          <w:sz w:val="16"/>
          <w:szCs w:val="16"/>
        </w:rPr>
      </w:pPr>
      <w:r w:rsidRPr="00D20331">
        <w:rPr>
          <w:rStyle w:val="FootnoteReference"/>
          <w:sz w:val="16"/>
          <w:szCs w:val="16"/>
        </w:rPr>
        <w:footnoteRef/>
      </w:r>
      <w:r w:rsidRPr="00D20331">
        <w:rPr>
          <w:sz w:val="16"/>
          <w:szCs w:val="16"/>
        </w:rPr>
        <w:t xml:space="preserve"> World Bank. (2020). </w:t>
      </w:r>
      <w:r w:rsidRPr="00D20331">
        <w:rPr>
          <w:i/>
          <w:iCs/>
          <w:sz w:val="16"/>
          <w:szCs w:val="16"/>
        </w:rPr>
        <w:t>Climate Change and Water Resources in Yemen: Policy Options and Challenges</w:t>
      </w:r>
      <w:r w:rsidRPr="00D20331">
        <w:rPr>
          <w:sz w:val="16"/>
          <w:szCs w:val="16"/>
        </w:rPr>
        <w:t>.</w:t>
      </w:r>
    </w:p>
  </w:footnote>
  <w:footnote w:id="19">
    <w:p w14:paraId="34970B00" w14:textId="77777777" w:rsidR="00B96700" w:rsidRPr="002510CD" w:rsidRDefault="00B96700" w:rsidP="00B96700">
      <w:pPr>
        <w:pStyle w:val="FootnoteText"/>
        <w:rPr>
          <w:sz w:val="16"/>
          <w:szCs w:val="16"/>
        </w:rPr>
      </w:pPr>
      <w:r w:rsidRPr="002510CD">
        <w:rPr>
          <w:rStyle w:val="FootnoteReference"/>
          <w:sz w:val="16"/>
          <w:szCs w:val="16"/>
        </w:rPr>
        <w:footnoteRef/>
      </w:r>
      <w:r w:rsidRPr="002510CD">
        <w:rPr>
          <w:sz w:val="16"/>
          <w:szCs w:val="16"/>
        </w:rPr>
        <w:t xml:space="preserve"> Examples </w:t>
      </w:r>
      <w:proofErr w:type="gramStart"/>
      <w:r w:rsidRPr="002510CD">
        <w:rPr>
          <w:sz w:val="16"/>
          <w:szCs w:val="16"/>
        </w:rPr>
        <w:t>include,</w:t>
      </w:r>
      <w:proofErr w:type="gramEnd"/>
      <w:r w:rsidRPr="002510CD">
        <w:rPr>
          <w:sz w:val="16"/>
          <w:szCs w:val="16"/>
        </w:rPr>
        <w:t xml:space="preserve"> The IPCC risk framework; UNFCCC Vulnerability and Adaptation Assessment Guidelines</w:t>
      </w:r>
      <w:r>
        <w:rPr>
          <w:sz w:val="16"/>
          <w:szCs w:val="16"/>
        </w:rPr>
        <w:t xml:space="preserve">, </w:t>
      </w:r>
      <w:r w:rsidRPr="002510CD">
        <w:rPr>
          <w:sz w:val="16"/>
          <w:szCs w:val="16"/>
        </w:rPr>
        <w:t>World Bank Climate and Disaster Risk Screening Tools; Climate Resilience Evaluation and Awareness Tool (CREAT); Coastal Hazard Wheel Framework</w:t>
      </w:r>
      <w:r>
        <w:rPr>
          <w:sz w:val="16"/>
          <w:szCs w:val="16"/>
        </w:rPr>
        <w:t xml:space="preserve">, </w:t>
      </w:r>
      <w:r w:rsidRPr="002510CD">
        <w:rPr>
          <w:sz w:val="16"/>
          <w:szCs w:val="16"/>
        </w:rPr>
        <w:t>Integrated Risk Assessment Framework (IRAF)</w:t>
      </w:r>
      <w:r>
        <w:rPr>
          <w:sz w:val="16"/>
          <w:szCs w:val="16"/>
        </w:rPr>
        <w:t xml:space="preserve">, </w:t>
      </w:r>
      <w:r w:rsidRPr="002510CD">
        <w:rPr>
          <w:sz w:val="16"/>
          <w:szCs w:val="16"/>
        </w:rPr>
        <w:t>Health Vulnerability and Adaptation Assessment Framework (WHO)</w:t>
      </w:r>
      <w:r>
        <w:rPr>
          <w:sz w:val="16"/>
          <w:szCs w:val="16"/>
        </w:rPr>
        <w:t xml:space="preserve">, </w:t>
      </w:r>
      <w:r w:rsidRPr="002510CD">
        <w:rPr>
          <w:sz w:val="16"/>
          <w:szCs w:val="16"/>
        </w:rPr>
        <w:t>FAO Climate Risk Assessment Framework for Agriculture</w:t>
      </w:r>
    </w:p>
  </w:footnote>
  <w:footnote w:id="20">
    <w:p w14:paraId="470F4BA9" w14:textId="3DCD85C6" w:rsidR="00C84F16" w:rsidRPr="006C7FB5" w:rsidRDefault="00C84F16">
      <w:pPr>
        <w:pStyle w:val="FootnoteText"/>
      </w:pPr>
      <w:r>
        <w:rPr>
          <w:rStyle w:val="FootnoteReference"/>
        </w:rPr>
        <w:footnoteRef/>
      </w:r>
      <w:r>
        <w:t xml:space="preserve"> See </w:t>
      </w:r>
      <w:r w:rsidRPr="006C7FB5">
        <w:t>https://www.undp.org/accountability/transparency/information-disclosure-policy</w:t>
      </w:r>
    </w:p>
  </w:footnote>
  <w:footnote w:id="21">
    <w:p w14:paraId="6CAF2F36" w14:textId="77777777" w:rsidR="00C84F16" w:rsidRPr="0046177D" w:rsidRDefault="00C84F16" w:rsidP="00812AEC">
      <w:pPr>
        <w:pStyle w:val="FootnoteText"/>
        <w:rPr>
          <w:rFonts w:ascii="Calibri" w:hAnsi="Calibri" w:cs="Calibri"/>
          <w:szCs w:val="18"/>
        </w:rPr>
      </w:pPr>
      <w:r w:rsidRPr="0046177D">
        <w:rPr>
          <w:rStyle w:val="FootnoteReference"/>
          <w:rFonts w:ascii="Calibri" w:hAnsi="Calibri" w:cs="Calibri"/>
          <w:szCs w:val="18"/>
        </w:rPr>
        <w:footnoteRef/>
      </w:r>
      <w:r w:rsidRPr="0046177D">
        <w:rPr>
          <w:rFonts w:ascii="Calibri" w:hAnsi="Calibri" w:cs="Calibri"/>
          <w:szCs w:val="18"/>
        </w:rPr>
        <w:t xml:space="preserve"> Excluding project team staff time and UNDP staff time and travel expenses</w:t>
      </w:r>
      <w:r>
        <w:rPr>
          <w:rFonts w:ascii="Calibri" w:hAnsi="Calibri" w:cs="Calibri"/>
          <w:szCs w:val="18"/>
        </w:rPr>
        <w:t>.</w:t>
      </w:r>
    </w:p>
  </w:footnote>
  <w:footnote w:id="22">
    <w:p w14:paraId="17B30D00" w14:textId="45FF7259" w:rsidR="00C84F16" w:rsidRPr="00DD767C" w:rsidRDefault="00C84F16" w:rsidP="00812AEC">
      <w:pPr>
        <w:pStyle w:val="FootnoteText"/>
        <w:rPr>
          <w:rFonts w:ascii="Calibri" w:hAnsi="Calibri" w:cs="Calibri"/>
          <w:szCs w:val="18"/>
        </w:rPr>
      </w:pPr>
      <w:r w:rsidRPr="00DD767C">
        <w:rPr>
          <w:rStyle w:val="FootnoteReference"/>
          <w:rFonts w:ascii="Calibri" w:hAnsi="Calibri" w:cs="Calibri"/>
          <w:szCs w:val="18"/>
        </w:rPr>
        <w:footnoteRef/>
      </w:r>
      <w:r w:rsidRPr="00DD767C">
        <w:rPr>
          <w:rFonts w:ascii="Calibri" w:hAnsi="Calibri" w:cs="Calibri"/>
          <w:szCs w:val="18"/>
        </w:rPr>
        <w:t xml:space="preserve"> The costs of UNDP </w:t>
      </w:r>
      <w:r>
        <w:rPr>
          <w:rFonts w:ascii="Calibri" w:hAnsi="Calibri" w:cs="Calibri"/>
          <w:szCs w:val="18"/>
        </w:rPr>
        <w:t>Country Office and UNDP-</w:t>
      </w:r>
      <w:r w:rsidR="00DA2CCA">
        <w:rPr>
          <w:rFonts w:eastAsia="Arial" w:cstheme="minorHAnsi"/>
        </w:rPr>
        <w:t>Climate Hub</w:t>
      </w:r>
      <w:r>
        <w:rPr>
          <w:rFonts w:ascii="Calibri" w:hAnsi="Calibri" w:cs="Calibri"/>
          <w:szCs w:val="18"/>
        </w:rPr>
        <w:t xml:space="preserve"> Unit</w:t>
      </w:r>
      <w:r w:rsidRPr="00DD767C">
        <w:rPr>
          <w:rFonts w:ascii="Calibri" w:hAnsi="Calibri" w:cs="Calibri"/>
          <w:szCs w:val="18"/>
        </w:rPr>
        <w:t xml:space="preserve">’s participation </w:t>
      </w:r>
      <w:r>
        <w:rPr>
          <w:rFonts w:ascii="Calibri" w:hAnsi="Calibri" w:cs="Calibri"/>
          <w:szCs w:val="18"/>
        </w:rPr>
        <w:t xml:space="preserve">and time </w:t>
      </w:r>
      <w:r w:rsidRPr="00DD767C">
        <w:rPr>
          <w:rFonts w:ascii="Calibri" w:hAnsi="Calibri" w:cs="Calibri"/>
          <w:szCs w:val="18"/>
        </w:rPr>
        <w:t>are charged to the</w:t>
      </w:r>
      <w:r>
        <w:rPr>
          <w:rFonts w:ascii="Calibri" w:hAnsi="Calibri" w:cs="Calibri"/>
          <w:szCs w:val="18"/>
        </w:rPr>
        <w:t xml:space="preserve"> GCF Agency</w:t>
      </w:r>
      <w:r w:rsidRPr="00DD767C">
        <w:rPr>
          <w:rFonts w:ascii="Calibri" w:hAnsi="Calibri" w:cs="Calibri"/>
          <w:szCs w:val="18"/>
        </w:rPr>
        <w:t xml:space="preserve"> Fee.</w:t>
      </w:r>
    </w:p>
  </w:footnote>
  <w:footnote w:id="23">
    <w:p w14:paraId="765D7A20" w14:textId="77777777" w:rsidR="00C84F16" w:rsidRPr="00F909BB" w:rsidRDefault="00C84F16" w:rsidP="000A35E6">
      <w:pPr>
        <w:jc w:val="left"/>
        <w:rPr>
          <w:rFonts w:asciiTheme="minorHAnsi" w:hAnsiTheme="minorHAnsi"/>
          <w:sz w:val="18"/>
          <w:szCs w:val="18"/>
        </w:rPr>
      </w:pPr>
      <w:r w:rsidRPr="00F909BB">
        <w:rPr>
          <w:rStyle w:val="FootnoteReference"/>
          <w:rFonts w:asciiTheme="minorHAnsi" w:hAnsiTheme="minorHAnsi"/>
          <w:szCs w:val="18"/>
        </w:rPr>
        <w:footnoteRef/>
      </w:r>
      <w:r w:rsidRPr="00F909BB">
        <w:rPr>
          <w:rFonts w:asciiTheme="minorHAnsi" w:hAnsiTheme="minorHAnsi"/>
          <w:sz w:val="18"/>
          <w:szCs w:val="18"/>
        </w:rPr>
        <w:t xml:space="preserve"> See </w:t>
      </w:r>
      <w:hyperlink r:id="rId10" w:history="1">
        <w:r w:rsidRPr="00F909BB">
          <w:rPr>
            <w:rStyle w:val="Hyperlink"/>
            <w:rFonts w:asciiTheme="minorHAnsi" w:hAnsiTheme="minorHAnsi"/>
            <w:sz w:val="18"/>
            <w:szCs w:val="18"/>
          </w:rPr>
          <w:t>https://popp.undp.org/_layouts/15/WopiFrame.aspx?sourcedoc=/UNDP_POPP_DOCUMENT_LIBRARY/Public/PPM_Project%20Management_Closing.docx&amp;action=default</w:t>
        </w:r>
      </w:hyperlink>
      <w:r w:rsidRPr="00F909BB">
        <w:rPr>
          <w:rFonts w:asciiTheme="minorHAnsi" w:hAnsiTheme="minorHAnsi"/>
          <w:sz w:val="18"/>
          <w:szCs w:val="18"/>
        </w:rPr>
        <w:t xml:space="preserve">. </w:t>
      </w:r>
    </w:p>
  </w:footnote>
  <w:footnote w:id="24">
    <w:p w14:paraId="7F2EB477" w14:textId="77777777" w:rsidR="00C84F16" w:rsidRPr="003174B4" w:rsidRDefault="00C84F16" w:rsidP="008B74FA">
      <w:pPr>
        <w:pStyle w:val="FootnoteText"/>
      </w:pPr>
      <w:r w:rsidRPr="003174B4">
        <w:rPr>
          <w:rStyle w:val="FootnoteReference"/>
          <w:rFonts w:asciiTheme="minorHAnsi" w:hAnsiTheme="minorHAnsi"/>
          <w:vertAlign w:val="baseline"/>
        </w:rPr>
        <w:footnoteRef/>
      </w:r>
      <w:r w:rsidRPr="003174B4">
        <w:t xml:space="preserve"> To be used where UNDP is the Implementing Partner</w:t>
      </w:r>
    </w:p>
  </w:footnote>
  <w:footnote w:id="25">
    <w:p w14:paraId="3DCE3AC8" w14:textId="77777777" w:rsidR="00C84F16" w:rsidRPr="003174B4" w:rsidRDefault="00C84F16" w:rsidP="008B74FA">
      <w:pPr>
        <w:pStyle w:val="FootnoteText"/>
      </w:pPr>
      <w:r w:rsidRPr="003174B4">
        <w:rPr>
          <w:rStyle w:val="FootnoteReference"/>
          <w:rFonts w:asciiTheme="minorHAnsi" w:hAnsiTheme="minorHAnsi"/>
          <w:vertAlign w:val="baseline"/>
        </w:rPr>
        <w:footnoteRef/>
      </w:r>
      <w:r w:rsidRPr="003174B4">
        <w:t xml:space="preserve"> To be used where the UN, a UN fund/</w:t>
      </w:r>
      <w:proofErr w:type="spellStart"/>
      <w:r w:rsidRPr="003174B4">
        <w:t>programme</w:t>
      </w:r>
      <w:proofErr w:type="spellEnd"/>
      <w:r w:rsidRPr="003174B4">
        <w:t xml:space="preserve"> or a specialized agency is the Implementing Partner</w:t>
      </w:r>
    </w:p>
  </w:footnote>
  <w:footnote w:id="26">
    <w:p w14:paraId="53FB946B" w14:textId="77777777" w:rsidR="006F1E8B" w:rsidRPr="00503DB1" w:rsidRDefault="006F1E8B" w:rsidP="006F1E8B">
      <w:pPr>
        <w:pStyle w:val="FootnoteText"/>
        <w:spacing w:after="120"/>
        <w:rPr>
          <w:rFonts w:cstheme="minorHAnsi"/>
          <w:szCs w:val="18"/>
        </w:rPr>
      </w:pPr>
      <w:r w:rsidRPr="00503DB1">
        <w:rPr>
          <w:rStyle w:val="FootnoteReference"/>
          <w:rFonts w:cstheme="minorHAnsi"/>
          <w:szCs w:val="18"/>
        </w:rPr>
        <w:footnoteRef/>
      </w:r>
      <w:r w:rsidRPr="00503DB1">
        <w:rPr>
          <w:rFonts w:cstheme="minorHAnsi"/>
          <w:szCs w:val="18"/>
        </w:rPr>
        <w:t xml:space="preserve"> Risk categories can </w:t>
      </w:r>
      <w:proofErr w:type="gramStart"/>
      <w:r w:rsidRPr="00503DB1">
        <w:rPr>
          <w:rFonts w:cstheme="minorHAnsi"/>
          <w:szCs w:val="18"/>
        </w:rPr>
        <w:t>include:</w:t>
      </w:r>
      <w:proofErr w:type="gramEnd"/>
      <w:r w:rsidRPr="00503DB1">
        <w:rPr>
          <w:rFonts w:cstheme="minorHAnsi"/>
          <w:szCs w:val="18"/>
        </w:rPr>
        <w:t xml:space="preserve"> Operational, Political, Stakeholder engagement, Implementation, </w:t>
      </w:r>
      <w:proofErr w:type="gramStart"/>
      <w:r w:rsidRPr="00503DB1">
        <w:rPr>
          <w:rFonts w:cstheme="minorHAnsi"/>
          <w:szCs w:val="18"/>
        </w:rPr>
        <w:t>Natural-hazards</w:t>
      </w:r>
      <w:proofErr w:type="gramEnd"/>
      <w:r w:rsidRPr="00503DB1">
        <w:rPr>
          <w:rFonts w:cstheme="minorHAnsi"/>
          <w:szCs w:val="18"/>
        </w:rPr>
        <w:t xml:space="preserve"> related disasters, Unsustainability, Compliance, Money laundering, terrorist financing and prohibited practices, etc.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C89C7" w14:textId="77777777" w:rsidR="009526AD" w:rsidRPr="0048348F" w:rsidRDefault="009526AD" w:rsidP="0048348F">
    <w:pPr>
      <w:pStyle w:val="Header"/>
      <w:rPr>
        <w:rStyle w:val="Strong"/>
        <w:b w:val="0"/>
        <w:bCs w:val="0"/>
      </w:rPr>
    </w:pPr>
    <w:r w:rsidRPr="0048348F">
      <w:rPr>
        <w:rStyle w:val="Strong"/>
      </w:rPr>
      <w:t>READINESS AND PREPARATORY SUPPORT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3C7DD" w14:textId="56577FBC" w:rsidR="00C84F16" w:rsidRDefault="00C84F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01B88" w14:textId="77777777" w:rsidR="00C84F16" w:rsidRPr="00424365" w:rsidRDefault="00C84F16"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8E1362"/>
    <w:multiLevelType w:val="multilevel"/>
    <w:tmpl w:val="415E240A"/>
    <w:lvl w:ilvl="0">
      <w:start w:val="1"/>
      <w:numFmt w:val="decimal"/>
      <w:lvlText w:val="%1"/>
      <w:lvlJc w:val="left"/>
      <w:pPr>
        <w:ind w:left="370" w:hanging="370"/>
      </w:pPr>
      <w:rPr>
        <w:rFonts w:hint="default"/>
      </w:rPr>
    </w:lvl>
    <w:lvl w:ilvl="1">
      <w:start w:val="1"/>
      <w:numFmt w:val="decimal"/>
      <w:lvlText w:val="2.%2."/>
      <w:lvlJc w:val="left"/>
      <w:pPr>
        <w:ind w:left="360" w:hanging="360"/>
      </w:pPr>
      <w:rPr>
        <w:rFonts w:hint="default"/>
        <w:color w:val="2F5496" w:themeColor="accent1" w:themeShade="BF"/>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3F92485"/>
    <w:multiLevelType w:val="hybridMultilevel"/>
    <w:tmpl w:val="71821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F075E1"/>
    <w:multiLevelType w:val="multilevel"/>
    <w:tmpl w:val="03DE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046E09"/>
    <w:multiLevelType w:val="multilevel"/>
    <w:tmpl w:val="5A76FD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DA5FB8"/>
    <w:multiLevelType w:val="hybridMultilevel"/>
    <w:tmpl w:val="9F74C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BD194E"/>
    <w:multiLevelType w:val="multilevel"/>
    <w:tmpl w:val="189A3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177FBB"/>
    <w:multiLevelType w:val="hybridMultilevel"/>
    <w:tmpl w:val="1E82CA32"/>
    <w:lvl w:ilvl="0" w:tplc="A98E32D8">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F29526E"/>
    <w:multiLevelType w:val="hybridMultilevel"/>
    <w:tmpl w:val="3C9C85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03C718C"/>
    <w:multiLevelType w:val="multilevel"/>
    <w:tmpl w:val="A97EC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E540DB"/>
    <w:multiLevelType w:val="hybridMultilevel"/>
    <w:tmpl w:val="915E3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3140F3F"/>
    <w:multiLevelType w:val="hybridMultilevel"/>
    <w:tmpl w:val="25BAB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3F83EBC"/>
    <w:multiLevelType w:val="multilevel"/>
    <w:tmpl w:val="D79AC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4A66A8C"/>
    <w:multiLevelType w:val="hybridMultilevel"/>
    <w:tmpl w:val="90245D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5894D57"/>
    <w:multiLevelType w:val="multilevel"/>
    <w:tmpl w:val="14F6A3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18523DDB"/>
    <w:multiLevelType w:val="multilevel"/>
    <w:tmpl w:val="71380108"/>
    <w:lvl w:ilvl="0">
      <w:start w:val="1"/>
      <w:numFmt w:val="decimal"/>
      <w:lvlText w:val="%1)"/>
      <w:lvlJc w:val="left"/>
      <w:pPr>
        <w:tabs>
          <w:tab w:val="num" w:pos="360"/>
        </w:tabs>
        <w:ind w:left="360" w:hanging="360"/>
      </w:pPr>
      <w:rPr>
        <w:rFonts w:hint="default"/>
        <w:sz w:val="20"/>
      </w:rPr>
    </w:lvl>
    <w:lvl w:ilvl="1">
      <w:start w:val="1"/>
      <w:numFmt w:val="decimal"/>
      <w:lvlText w:val="%2)"/>
      <w:lvlJc w:val="left"/>
      <w:pPr>
        <w:ind w:left="1080" w:hanging="360"/>
      </w:pPr>
      <w:rPr>
        <w:rFonts w:hint="default"/>
        <w:b w:val="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197B3C44"/>
    <w:multiLevelType w:val="hybridMultilevel"/>
    <w:tmpl w:val="FFFFFFFF"/>
    <w:lvl w:ilvl="0" w:tplc="0F98A0DE">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C746514E">
      <w:start w:val="1"/>
      <w:numFmt w:val="bullet"/>
      <w:lvlText w:val=""/>
      <w:lvlJc w:val="left"/>
      <w:pPr>
        <w:ind w:left="2160" w:hanging="360"/>
      </w:pPr>
      <w:rPr>
        <w:rFonts w:ascii="Wingdings" w:hAnsi="Wingdings" w:hint="default"/>
      </w:rPr>
    </w:lvl>
    <w:lvl w:ilvl="3" w:tplc="99745C9A">
      <w:start w:val="1"/>
      <w:numFmt w:val="bullet"/>
      <w:lvlText w:val=""/>
      <w:lvlJc w:val="left"/>
      <w:pPr>
        <w:ind w:left="2880" w:hanging="360"/>
      </w:pPr>
      <w:rPr>
        <w:rFonts w:ascii="Symbol" w:hAnsi="Symbol" w:hint="default"/>
      </w:rPr>
    </w:lvl>
    <w:lvl w:ilvl="4" w:tplc="19F658EC">
      <w:start w:val="1"/>
      <w:numFmt w:val="bullet"/>
      <w:lvlText w:val="o"/>
      <w:lvlJc w:val="left"/>
      <w:pPr>
        <w:ind w:left="3600" w:hanging="360"/>
      </w:pPr>
      <w:rPr>
        <w:rFonts w:ascii="Courier New" w:hAnsi="Courier New" w:hint="default"/>
      </w:rPr>
    </w:lvl>
    <w:lvl w:ilvl="5" w:tplc="BD3886E0">
      <w:start w:val="1"/>
      <w:numFmt w:val="bullet"/>
      <w:lvlText w:val=""/>
      <w:lvlJc w:val="left"/>
      <w:pPr>
        <w:ind w:left="4320" w:hanging="360"/>
      </w:pPr>
      <w:rPr>
        <w:rFonts w:ascii="Wingdings" w:hAnsi="Wingdings" w:hint="default"/>
      </w:rPr>
    </w:lvl>
    <w:lvl w:ilvl="6" w:tplc="AB86BCBC">
      <w:start w:val="1"/>
      <w:numFmt w:val="bullet"/>
      <w:lvlText w:val=""/>
      <w:lvlJc w:val="left"/>
      <w:pPr>
        <w:ind w:left="5040" w:hanging="360"/>
      </w:pPr>
      <w:rPr>
        <w:rFonts w:ascii="Symbol" w:hAnsi="Symbol" w:hint="default"/>
      </w:rPr>
    </w:lvl>
    <w:lvl w:ilvl="7" w:tplc="2FC03BB6">
      <w:start w:val="1"/>
      <w:numFmt w:val="bullet"/>
      <w:lvlText w:val="o"/>
      <w:lvlJc w:val="left"/>
      <w:pPr>
        <w:ind w:left="5760" w:hanging="360"/>
      </w:pPr>
      <w:rPr>
        <w:rFonts w:ascii="Courier New" w:hAnsi="Courier New" w:hint="default"/>
      </w:rPr>
    </w:lvl>
    <w:lvl w:ilvl="8" w:tplc="0BC4B804">
      <w:start w:val="1"/>
      <w:numFmt w:val="bullet"/>
      <w:lvlText w:val=""/>
      <w:lvlJc w:val="left"/>
      <w:pPr>
        <w:ind w:left="6480" w:hanging="360"/>
      </w:pPr>
      <w:rPr>
        <w:rFonts w:ascii="Wingdings" w:hAnsi="Wingdings" w:hint="default"/>
      </w:rPr>
    </w:lvl>
  </w:abstractNum>
  <w:abstractNum w:abstractNumId="22"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FFC2CF4"/>
    <w:multiLevelType w:val="hybridMultilevel"/>
    <w:tmpl w:val="9CD65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0D11CC9"/>
    <w:multiLevelType w:val="multilevel"/>
    <w:tmpl w:val="051C71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14E757B"/>
    <w:multiLevelType w:val="multilevel"/>
    <w:tmpl w:val="600C2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2461D2E"/>
    <w:multiLevelType w:val="multilevel"/>
    <w:tmpl w:val="462A1B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5B5470F"/>
    <w:multiLevelType w:val="multilevel"/>
    <w:tmpl w:val="8D0A3A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7F8032E"/>
    <w:multiLevelType w:val="multilevel"/>
    <w:tmpl w:val="F3BC23B0"/>
    <w:lvl w:ilvl="0">
      <w:start w:val="1"/>
      <w:numFmt w:val="bullet"/>
      <w:lvlText w:val=""/>
      <w:lvlJc w:val="left"/>
      <w:pPr>
        <w:tabs>
          <w:tab w:val="num" w:pos="720"/>
        </w:tabs>
        <w:ind w:left="720" w:hanging="360"/>
      </w:pPr>
      <w:rPr>
        <w:rFonts w:ascii="Symbol" w:hAnsi="Symbol" w:hint="default"/>
        <w:sz w:val="20"/>
      </w:rPr>
    </w:lvl>
    <w:lvl w:ilvl="1">
      <w:start w:val="4"/>
      <w:numFmt w:val="upperRoman"/>
      <w:lvlText w:val="%2."/>
      <w:lvlJc w:val="left"/>
      <w:pPr>
        <w:ind w:left="1800" w:hanging="720"/>
      </w:pPr>
      <w:rPr>
        <w:rFonts w:hint="default"/>
      </w:rPr>
    </w:lvl>
    <w:lvl w:ilvl="2">
      <w:start w:val="6"/>
      <w:numFmt w:val="upperRoman"/>
      <w:lvlText w:val="%3&gt;"/>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2F4D667B"/>
    <w:multiLevelType w:val="hybridMultilevel"/>
    <w:tmpl w:val="722C9FA6"/>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262105E"/>
    <w:multiLevelType w:val="multilevel"/>
    <w:tmpl w:val="389062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30039C5"/>
    <w:multiLevelType w:val="hybridMultilevel"/>
    <w:tmpl w:val="05FC0A2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3726723"/>
    <w:multiLevelType w:val="multilevel"/>
    <w:tmpl w:val="F87A2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4AA09AA"/>
    <w:multiLevelType w:val="hybridMultilevel"/>
    <w:tmpl w:val="CBEE14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390D7436"/>
    <w:multiLevelType w:val="hybridMultilevel"/>
    <w:tmpl w:val="93E06F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4FD648C8">
      <w:start w:val="12"/>
      <w:numFmt w:val="bullet"/>
      <w:lvlText w:val="•"/>
      <w:lvlJc w:val="left"/>
      <w:pPr>
        <w:ind w:left="3600" w:hanging="720"/>
      </w:pPr>
      <w:rPr>
        <w:rFonts w:ascii="Calibri" w:eastAsiaTheme="minorEastAsia" w:hAnsi="Calibri" w:cs="Times New Roman"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39215700"/>
    <w:multiLevelType w:val="hybridMultilevel"/>
    <w:tmpl w:val="15BAC544"/>
    <w:lvl w:ilvl="0" w:tplc="A98E32D8">
      <w:numFmt w:val="bullet"/>
      <w:lvlText w:val="•"/>
      <w:lvlJc w:val="left"/>
      <w:pPr>
        <w:ind w:left="720" w:hanging="360"/>
      </w:pPr>
      <w:rPr>
        <w:rFonts w:ascii="Times New Roman" w:eastAsia="Arial"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98F530B"/>
    <w:multiLevelType w:val="multilevel"/>
    <w:tmpl w:val="3B2E9E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BC6574"/>
    <w:multiLevelType w:val="multilevel"/>
    <w:tmpl w:val="DE5605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459F2AFC"/>
    <w:multiLevelType w:val="hybridMultilevel"/>
    <w:tmpl w:val="76B8DD4C"/>
    <w:lvl w:ilvl="0" w:tplc="0450D0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6851F8C"/>
    <w:multiLevelType w:val="multilevel"/>
    <w:tmpl w:val="00A65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7584A7A"/>
    <w:multiLevelType w:val="multilevel"/>
    <w:tmpl w:val="69FC8B1E"/>
    <w:lvl w:ilvl="0">
      <w:start w:val="1"/>
      <w:numFmt w:val="decimal"/>
      <w:lvlText w:val="%1."/>
      <w:lvlJc w:val="left"/>
      <w:pPr>
        <w:tabs>
          <w:tab w:val="num" w:pos="720"/>
        </w:tabs>
        <w:ind w:left="720" w:hanging="360"/>
      </w:pPr>
      <w:rPr>
        <w:rFonts w:hint="default"/>
        <w:sz w:val="20"/>
      </w:rPr>
    </w:lvl>
    <w:lvl w:ilvl="1">
      <w:start w:val="3"/>
      <w:numFmt w:val="upperRoman"/>
      <w:lvlText w:val="%2&gt;"/>
      <w:lvlJc w:val="left"/>
      <w:pPr>
        <w:ind w:left="1800" w:hanging="720"/>
      </w:pPr>
      <w:rPr>
        <w:rFonts w:hint="default"/>
      </w:rPr>
    </w:lvl>
    <w:lvl w:ilvl="2">
      <w:start w:val="3"/>
      <w:numFmt w:val="upp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A54455E"/>
    <w:multiLevelType w:val="multilevel"/>
    <w:tmpl w:val="B32AD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B9715FA"/>
    <w:multiLevelType w:val="multilevel"/>
    <w:tmpl w:val="798C7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E682FA3"/>
    <w:multiLevelType w:val="multilevel"/>
    <w:tmpl w:val="97981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0341586"/>
    <w:multiLevelType w:val="multilevel"/>
    <w:tmpl w:val="F4D41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0EC218F"/>
    <w:multiLevelType w:val="multilevel"/>
    <w:tmpl w:val="33A46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29B5C43"/>
    <w:multiLevelType w:val="multilevel"/>
    <w:tmpl w:val="872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32464B1"/>
    <w:multiLevelType w:val="multilevel"/>
    <w:tmpl w:val="4864A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391273D"/>
    <w:multiLevelType w:val="multilevel"/>
    <w:tmpl w:val="12EA1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4504747"/>
    <w:multiLevelType w:val="hybridMultilevel"/>
    <w:tmpl w:val="CB3C3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6A77A40"/>
    <w:multiLevelType w:val="multilevel"/>
    <w:tmpl w:val="9280E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7494EB2"/>
    <w:multiLevelType w:val="multilevel"/>
    <w:tmpl w:val="A94C78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A176B52"/>
    <w:multiLevelType w:val="hybridMultilevel"/>
    <w:tmpl w:val="FE301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E955241"/>
    <w:multiLevelType w:val="hybridMultilevel"/>
    <w:tmpl w:val="7CC04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E9F4E08"/>
    <w:multiLevelType w:val="multilevel"/>
    <w:tmpl w:val="8FF88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66C13D11"/>
    <w:multiLevelType w:val="multilevel"/>
    <w:tmpl w:val="DFE29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AD11A42"/>
    <w:multiLevelType w:val="multilevel"/>
    <w:tmpl w:val="1DF6CB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B8E6E4F"/>
    <w:multiLevelType w:val="hybridMultilevel"/>
    <w:tmpl w:val="40927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C99045D"/>
    <w:multiLevelType w:val="hybridMultilevel"/>
    <w:tmpl w:val="425C4C5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15:restartNumberingAfterBreak="0">
    <w:nsid w:val="6CA5341F"/>
    <w:multiLevelType w:val="hybridMultilevel"/>
    <w:tmpl w:val="68C0F4EE"/>
    <w:lvl w:ilvl="0" w:tplc="08090001">
      <w:start w:val="1"/>
      <w:numFmt w:val="bullet"/>
      <w:lvlText w:val=""/>
      <w:lvlJc w:val="left"/>
      <w:pPr>
        <w:ind w:left="1090" w:hanging="360"/>
      </w:pPr>
      <w:rPr>
        <w:rFonts w:ascii="Symbol" w:hAnsi="Symbol" w:hint="default"/>
      </w:rPr>
    </w:lvl>
    <w:lvl w:ilvl="1" w:tplc="08090003" w:tentative="1">
      <w:start w:val="1"/>
      <w:numFmt w:val="bullet"/>
      <w:lvlText w:val="o"/>
      <w:lvlJc w:val="left"/>
      <w:pPr>
        <w:ind w:left="1810" w:hanging="360"/>
      </w:pPr>
      <w:rPr>
        <w:rFonts w:ascii="Courier New" w:hAnsi="Courier New" w:cs="Courier New" w:hint="default"/>
      </w:rPr>
    </w:lvl>
    <w:lvl w:ilvl="2" w:tplc="08090005" w:tentative="1">
      <w:start w:val="1"/>
      <w:numFmt w:val="bullet"/>
      <w:lvlText w:val=""/>
      <w:lvlJc w:val="left"/>
      <w:pPr>
        <w:ind w:left="2530" w:hanging="360"/>
      </w:pPr>
      <w:rPr>
        <w:rFonts w:ascii="Wingdings" w:hAnsi="Wingdings" w:hint="default"/>
      </w:rPr>
    </w:lvl>
    <w:lvl w:ilvl="3" w:tplc="08090001" w:tentative="1">
      <w:start w:val="1"/>
      <w:numFmt w:val="bullet"/>
      <w:lvlText w:val=""/>
      <w:lvlJc w:val="left"/>
      <w:pPr>
        <w:ind w:left="3250" w:hanging="360"/>
      </w:pPr>
      <w:rPr>
        <w:rFonts w:ascii="Symbol" w:hAnsi="Symbol" w:hint="default"/>
      </w:rPr>
    </w:lvl>
    <w:lvl w:ilvl="4" w:tplc="08090003" w:tentative="1">
      <w:start w:val="1"/>
      <w:numFmt w:val="bullet"/>
      <w:lvlText w:val="o"/>
      <w:lvlJc w:val="left"/>
      <w:pPr>
        <w:ind w:left="3970" w:hanging="360"/>
      </w:pPr>
      <w:rPr>
        <w:rFonts w:ascii="Courier New" w:hAnsi="Courier New" w:cs="Courier New" w:hint="default"/>
      </w:rPr>
    </w:lvl>
    <w:lvl w:ilvl="5" w:tplc="08090005" w:tentative="1">
      <w:start w:val="1"/>
      <w:numFmt w:val="bullet"/>
      <w:lvlText w:val=""/>
      <w:lvlJc w:val="left"/>
      <w:pPr>
        <w:ind w:left="4690" w:hanging="360"/>
      </w:pPr>
      <w:rPr>
        <w:rFonts w:ascii="Wingdings" w:hAnsi="Wingdings" w:hint="default"/>
      </w:rPr>
    </w:lvl>
    <w:lvl w:ilvl="6" w:tplc="08090001" w:tentative="1">
      <w:start w:val="1"/>
      <w:numFmt w:val="bullet"/>
      <w:lvlText w:val=""/>
      <w:lvlJc w:val="left"/>
      <w:pPr>
        <w:ind w:left="5410" w:hanging="360"/>
      </w:pPr>
      <w:rPr>
        <w:rFonts w:ascii="Symbol" w:hAnsi="Symbol" w:hint="default"/>
      </w:rPr>
    </w:lvl>
    <w:lvl w:ilvl="7" w:tplc="08090003" w:tentative="1">
      <w:start w:val="1"/>
      <w:numFmt w:val="bullet"/>
      <w:lvlText w:val="o"/>
      <w:lvlJc w:val="left"/>
      <w:pPr>
        <w:ind w:left="6130" w:hanging="360"/>
      </w:pPr>
      <w:rPr>
        <w:rFonts w:ascii="Courier New" w:hAnsi="Courier New" w:cs="Courier New" w:hint="default"/>
      </w:rPr>
    </w:lvl>
    <w:lvl w:ilvl="8" w:tplc="08090005" w:tentative="1">
      <w:start w:val="1"/>
      <w:numFmt w:val="bullet"/>
      <w:lvlText w:val=""/>
      <w:lvlJc w:val="left"/>
      <w:pPr>
        <w:ind w:left="6850" w:hanging="360"/>
      </w:pPr>
      <w:rPr>
        <w:rFonts w:ascii="Wingdings" w:hAnsi="Wingdings" w:hint="default"/>
      </w:rPr>
    </w:lvl>
  </w:abstractNum>
  <w:abstractNum w:abstractNumId="70" w15:restartNumberingAfterBreak="0">
    <w:nsid w:val="6D425D10"/>
    <w:multiLevelType w:val="multilevel"/>
    <w:tmpl w:val="16A4F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FB41735"/>
    <w:multiLevelType w:val="multilevel"/>
    <w:tmpl w:val="69FC8B1E"/>
    <w:lvl w:ilvl="0">
      <w:start w:val="1"/>
      <w:numFmt w:val="decimal"/>
      <w:lvlText w:val="%1."/>
      <w:lvlJc w:val="left"/>
      <w:pPr>
        <w:tabs>
          <w:tab w:val="num" w:pos="720"/>
        </w:tabs>
        <w:ind w:left="720" w:hanging="360"/>
      </w:pPr>
      <w:rPr>
        <w:rFonts w:hint="default"/>
        <w:sz w:val="20"/>
      </w:rPr>
    </w:lvl>
    <w:lvl w:ilvl="1">
      <w:start w:val="3"/>
      <w:numFmt w:val="upperRoman"/>
      <w:lvlText w:val="%2&gt;"/>
      <w:lvlJc w:val="left"/>
      <w:pPr>
        <w:ind w:left="1800" w:hanging="720"/>
      </w:pPr>
      <w:rPr>
        <w:rFonts w:hint="default"/>
      </w:rPr>
    </w:lvl>
    <w:lvl w:ilvl="2">
      <w:start w:val="3"/>
      <w:numFmt w:val="upp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FBC51C4"/>
    <w:multiLevelType w:val="hybridMultilevel"/>
    <w:tmpl w:val="F28A46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70512108"/>
    <w:multiLevelType w:val="hybridMultilevel"/>
    <w:tmpl w:val="EC24A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75"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75697E72"/>
    <w:multiLevelType w:val="multilevel"/>
    <w:tmpl w:val="5A0015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89F46BF"/>
    <w:multiLevelType w:val="multilevel"/>
    <w:tmpl w:val="BA68D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92131FE"/>
    <w:multiLevelType w:val="hybridMultilevel"/>
    <w:tmpl w:val="1E90EAD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79D81BA5"/>
    <w:multiLevelType w:val="multilevel"/>
    <w:tmpl w:val="04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7A850166"/>
    <w:multiLevelType w:val="multilevel"/>
    <w:tmpl w:val="B6CAF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BBB0628"/>
    <w:multiLevelType w:val="hybridMultilevel"/>
    <w:tmpl w:val="D9A89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79426885">
    <w:abstractNumId w:val="19"/>
  </w:num>
  <w:num w:numId="2" w16cid:durableId="802043401">
    <w:abstractNumId w:val="5"/>
  </w:num>
  <w:num w:numId="3" w16cid:durableId="417481507">
    <w:abstractNumId w:val="64"/>
  </w:num>
  <w:num w:numId="4" w16cid:durableId="1245341323">
    <w:abstractNumId w:val="30"/>
  </w:num>
  <w:num w:numId="5" w16cid:durableId="961379428">
    <w:abstractNumId w:val="14"/>
  </w:num>
  <w:num w:numId="6" w16cid:durableId="1420785994">
    <w:abstractNumId w:val="41"/>
  </w:num>
  <w:num w:numId="7" w16cid:durableId="1411778291">
    <w:abstractNumId w:val="75"/>
  </w:num>
  <w:num w:numId="8" w16cid:durableId="800391456">
    <w:abstractNumId w:val="74"/>
  </w:num>
  <w:num w:numId="9" w16cid:durableId="1452936525">
    <w:abstractNumId w:val="42"/>
  </w:num>
  <w:num w:numId="10" w16cid:durableId="1494106464">
    <w:abstractNumId w:val="27"/>
  </w:num>
  <w:num w:numId="11" w16cid:durableId="1970042841">
    <w:abstractNumId w:val="0"/>
  </w:num>
  <w:num w:numId="12" w16cid:durableId="2145269037">
    <w:abstractNumId w:val="22"/>
  </w:num>
  <w:num w:numId="13" w16cid:durableId="312685385">
    <w:abstractNumId w:val="10"/>
  </w:num>
  <w:num w:numId="14" w16cid:durableId="1101216548">
    <w:abstractNumId w:val="32"/>
  </w:num>
  <w:num w:numId="15" w16cid:durableId="1328899374">
    <w:abstractNumId w:val="54"/>
  </w:num>
  <w:num w:numId="16" w16cid:durableId="1786578153">
    <w:abstractNumId w:val="49"/>
  </w:num>
  <w:num w:numId="17" w16cid:durableId="1623800207">
    <w:abstractNumId w:val="50"/>
  </w:num>
  <w:num w:numId="18" w16cid:durableId="1878007890">
    <w:abstractNumId w:val="9"/>
  </w:num>
  <w:num w:numId="19" w16cid:durableId="1013726618">
    <w:abstractNumId w:val="48"/>
  </w:num>
  <w:num w:numId="20" w16cid:durableId="348458216">
    <w:abstractNumId w:val="37"/>
  </w:num>
  <w:num w:numId="21" w16cid:durableId="103673774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46979637">
    <w:abstractNumId w:val="15"/>
  </w:num>
  <w:num w:numId="23" w16cid:durableId="1890337789">
    <w:abstractNumId w:val="1"/>
  </w:num>
  <w:num w:numId="24" w16cid:durableId="1899124147">
    <w:abstractNumId w:val="72"/>
  </w:num>
  <w:num w:numId="25" w16cid:durableId="1880050995">
    <w:abstractNumId w:val="77"/>
  </w:num>
  <w:num w:numId="26" w16cid:durableId="135531534">
    <w:abstractNumId w:val="65"/>
  </w:num>
  <w:num w:numId="27" w16cid:durableId="1776826081">
    <w:abstractNumId w:val="35"/>
  </w:num>
  <w:num w:numId="28" w16cid:durableId="871381526">
    <w:abstractNumId w:val="25"/>
  </w:num>
  <w:num w:numId="29" w16cid:durableId="1831827938">
    <w:abstractNumId w:val="26"/>
  </w:num>
  <w:num w:numId="30" w16cid:durableId="1747457545">
    <w:abstractNumId w:val="24"/>
  </w:num>
  <w:num w:numId="31" w16cid:durableId="1940987268">
    <w:abstractNumId w:val="12"/>
  </w:num>
  <w:num w:numId="32" w16cid:durableId="1564827422">
    <w:abstractNumId w:val="63"/>
  </w:num>
  <w:num w:numId="33" w16cid:durableId="1399522050">
    <w:abstractNumId w:val="46"/>
  </w:num>
  <w:num w:numId="34" w16cid:durableId="1804342875">
    <w:abstractNumId w:val="18"/>
  </w:num>
  <w:num w:numId="35" w16cid:durableId="399256561">
    <w:abstractNumId w:val="44"/>
  </w:num>
  <w:num w:numId="36" w16cid:durableId="1670519161">
    <w:abstractNumId w:val="68"/>
  </w:num>
  <w:num w:numId="37" w16cid:durableId="777218802">
    <w:abstractNumId w:val="6"/>
  </w:num>
  <w:num w:numId="38" w16cid:durableId="1159033068">
    <w:abstractNumId w:val="79"/>
  </w:num>
  <w:num w:numId="39" w16cid:durableId="460854292">
    <w:abstractNumId w:val="78"/>
  </w:num>
  <w:num w:numId="40" w16cid:durableId="924874110">
    <w:abstractNumId w:val="60"/>
  </w:num>
  <w:num w:numId="41" w16cid:durableId="1833447294">
    <w:abstractNumId w:val="40"/>
  </w:num>
  <w:num w:numId="42" w16cid:durableId="1663854586">
    <w:abstractNumId w:val="28"/>
  </w:num>
  <w:num w:numId="43" w16cid:durableId="15694602">
    <w:abstractNumId w:val="33"/>
  </w:num>
  <w:num w:numId="44" w16cid:durableId="976690930">
    <w:abstractNumId w:val="20"/>
  </w:num>
  <w:num w:numId="45" w16cid:durableId="1317612129">
    <w:abstractNumId w:val="4"/>
  </w:num>
  <w:num w:numId="46" w16cid:durableId="805975910">
    <w:abstractNumId w:val="76"/>
  </w:num>
  <w:num w:numId="47" w16cid:durableId="1000933406">
    <w:abstractNumId w:val="39"/>
  </w:num>
  <w:num w:numId="48" w16cid:durableId="1477720973">
    <w:abstractNumId w:val="59"/>
  </w:num>
  <w:num w:numId="49" w16cid:durableId="1509053909">
    <w:abstractNumId w:val="11"/>
  </w:num>
  <w:num w:numId="50" w16cid:durableId="349569238">
    <w:abstractNumId w:val="21"/>
  </w:num>
  <w:num w:numId="51" w16cid:durableId="2071154895">
    <w:abstractNumId w:val="69"/>
  </w:num>
  <w:num w:numId="52" w16cid:durableId="1749307832">
    <w:abstractNumId w:val="38"/>
  </w:num>
  <w:num w:numId="53" w16cid:durableId="27532973">
    <w:abstractNumId w:val="81"/>
  </w:num>
  <w:num w:numId="54" w16cid:durableId="800197851">
    <w:abstractNumId w:val="67"/>
  </w:num>
  <w:num w:numId="55" w16cid:durableId="216743191">
    <w:abstractNumId w:val="61"/>
  </w:num>
  <w:num w:numId="56" w16cid:durableId="335157420">
    <w:abstractNumId w:val="36"/>
  </w:num>
  <w:num w:numId="57" w16cid:durableId="1057584078">
    <w:abstractNumId w:val="2"/>
  </w:num>
  <w:num w:numId="58" w16cid:durableId="1671103222">
    <w:abstractNumId w:val="58"/>
  </w:num>
  <w:num w:numId="59" w16cid:durableId="130175022">
    <w:abstractNumId w:val="56"/>
  </w:num>
  <w:num w:numId="60" w16cid:durableId="838427410">
    <w:abstractNumId w:val="57"/>
  </w:num>
  <w:num w:numId="61" w16cid:durableId="909384937">
    <w:abstractNumId w:val="80"/>
  </w:num>
  <w:num w:numId="62" w16cid:durableId="83109942">
    <w:abstractNumId w:val="53"/>
  </w:num>
  <w:num w:numId="63" w16cid:durableId="1865511002">
    <w:abstractNumId w:val="47"/>
  </w:num>
  <w:num w:numId="64" w16cid:durableId="1435324329">
    <w:abstractNumId w:val="3"/>
  </w:num>
  <w:num w:numId="65" w16cid:durableId="2097243889">
    <w:abstractNumId w:val="55"/>
  </w:num>
  <w:num w:numId="66" w16cid:durableId="1739745629">
    <w:abstractNumId w:val="7"/>
  </w:num>
  <w:num w:numId="67" w16cid:durableId="1293827858">
    <w:abstractNumId w:val="70"/>
  </w:num>
  <w:num w:numId="68" w16cid:durableId="733354677">
    <w:abstractNumId w:val="52"/>
  </w:num>
  <w:num w:numId="69" w16cid:durableId="11342776">
    <w:abstractNumId w:val="51"/>
  </w:num>
  <w:num w:numId="70" w16cid:durableId="1743941139">
    <w:abstractNumId w:val="23"/>
  </w:num>
  <w:num w:numId="71" w16cid:durableId="1245913814">
    <w:abstractNumId w:val="16"/>
  </w:num>
  <w:num w:numId="72" w16cid:durableId="540872254">
    <w:abstractNumId w:val="17"/>
  </w:num>
  <w:num w:numId="73" w16cid:durableId="1587569904">
    <w:abstractNumId w:val="13"/>
  </w:num>
  <w:num w:numId="74" w16cid:durableId="1028481973">
    <w:abstractNumId w:val="66"/>
  </w:num>
  <w:num w:numId="75" w16cid:durableId="1407922047">
    <w:abstractNumId w:val="62"/>
  </w:num>
  <w:num w:numId="76" w16cid:durableId="1095202381">
    <w:abstractNumId w:val="71"/>
  </w:num>
  <w:num w:numId="77" w16cid:durableId="1881818654">
    <w:abstractNumId w:val="34"/>
  </w:num>
  <w:num w:numId="78" w16cid:durableId="1908153174">
    <w:abstractNumId w:val="45"/>
  </w:num>
  <w:num w:numId="79" w16cid:durableId="972561637">
    <w:abstractNumId w:val="29"/>
  </w:num>
  <w:num w:numId="80" w16cid:durableId="654913023">
    <w:abstractNumId w:val="73"/>
  </w:num>
  <w:num w:numId="81" w16cid:durableId="958101786">
    <w:abstractNumId w:val="31"/>
  </w:num>
  <w:num w:numId="82" w16cid:durableId="566570894">
    <w:abstractNumId w:val="8"/>
  </w:num>
  <w:numIdMacAtCleanup w:val="8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urcu Dagurkuden">
    <w15:presenceInfo w15:providerId="AD" w15:userId="S::burcu.dagurkuden@undp.org::cdbfa0f6-ccb0-4732-b849-2d633e4b43dd"/>
  </w15:person>
  <w15:person w15:author="Saliou Toure">
    <w15:presenceInfo w15:providerId="AD" w15:userId="S::saliou.toure@undp.org::f19d0f36-a03f-46a4-bde7-20684fe926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es-ES" w:vendorID="64" w:dllVersion="0" w:nlCheck="1" w:checkStyle="0"/>
  <w:activeWritingStyle w:appName="MSWord" w:lang="en-US" w:vendorID="64" w:dllVersion="6" w:nlCheck="1" w:checkStyle="1"/>
  <w:activeWritingStyle w:appName="MSWord" w:lang="en-GB" w:vendorID="64" w:dllVersion="6" w:nlCheck="1" w:checkStyle="1"/>
  <w:activeWritingStyle w:appName="MSWord" w:lang="fr-FR" w:vendorID="64" w:dllVersion="6" w:nlCheck="1" w:checkStyle="1"/>
  <w:activeWritingStyle w:appName="MSWord" w:lang="en-AU" w:vendorID="64" w:dllVersion="6" w:nlCheck="1" w:checkStyle="1"/>
  <w:activeWritingStyle w:appName="MSWord" w:lang="en-CA" w:vendorID="64" w:dllVersion="0" w:nlCheck="1" w:checkStyle="0"/>
  <w:activeWritingStyle w:appName="MSWord" w:lang="sv-SE" w:vendorID="64" w:dllVersion="0" w:nlCheck="1" w:checkStyle="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0"/>
  <w:defaultTabStop w:val="720"/>
  <w:hyphenationZone w:val="425"/>
  <w:drawingGridHorizontalSpacing w:val="110"/>
  <w:displayHorizontalDrawingGridEvery w:val="2"/>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D86"/>
    <w:rsid w:val="00001FAA"/>
    <w:rsid w:val="0000239A"/>
    <w:rsid w:val="0000278F"/>
    <w:rsid w:val="00002A5F"/>
    <w:rsid w:val="00002CC1"/>
    <w:rsid w:val="00002CE3"/>
    <w:rsid w:val="00002FE5"/>
    <w:rsid w:val="00003C72"/>
    <w:rsid w:val="00004157"/>
    <w:rsid w:val="00004A84"/>
    <w:rsid w:val="00004F52"/>
    <w:rsid w:val="00005125"/>
    <w:rsid w:val="00005456"/>
    <w:rsid w:val="000057AA"/>
    <w:rsid w:val="00005845"/>
    <w:rsid w:val="0000586A"/>
    <w:rsid w:val="00005A37"/>
    <w:rsid w:val="00005D48"/>
    <w:rsid w:val="0000683B"/>
    <w:rsid w:val="000073A2"/>
    <w:rsid w:val="000075A3"/>
    <w:rsid w:val="000077F2"/>
    <w:rsid w:val="00007B01"/>
    <w:rsid w:val="000101B0"/>
    <w:rsid w:val="000107D3"/>
    <w:rsid w:val="0001093E"/>
    <w:rsid w:val="00010B26"/>
    <w:rsid w:val="00010DB3"/>
    <w:rsid w:val="00010E68"/>
    <w:rsid w:val="00011183"/>
    <w:rsid w:val="0001134C"/>
    <w:rsid w:val="0001168F"/>
    <w:rsid w:val="00011819"/>
    <w:rsid w:val="000122EA"/>
    <w:rsid w:val="000125B2"/>
    <w:rsid w:val="00012692"/>
    <w:rsid w:val="000131C6"/>
    <w:rsid w:val="000131D9"/>
    <w:rsid w:val="00013523"/>
    <w:rsid w:val="00013ADE"/>
    <w:rsid w:val="00015136"/>
    <w:rsid w:val="00015533"/>
    <w:rsid w:val="00015653"/>
    <w:rsid w:val="00015860"/>
    <w:rsid w:val="00015B6A"/>
    <w:rsid w:val="00015E4B"/>
    <w:rsid w:val="00016649"/>
    <w:rsid w:val="000177F6"/>
    <w:rsid w:val="00017BFE"/>
    <w:rsid w:val="00017D90"/>
    <w:rsid w:val="000203B4"/>
    <w:rsid w:val="000205AF"/>
    <w:rsid w:val="00020AA0"/>
    <w:rsid w:val="00021004"/>
    <w:rsid w:val="00021238"/>
    <w:rsid w:val="000217F5"/>
    <w:rsid w:val="00021B90"/>
    <w:rsid w:val="00022401"/>
    <w:rsid w:val="000224C8"/>
    <w:rsid w:val="0002252F"/>
    <w:rsid w:val="000225BF"/>
    <w:rsid w:val="000229BD"/>
    <w:rsid w:val="00022DE9"/>
    <w:rsid w:val="000230A3"/>
    <w:rsid w:val="00023435"/>
    <w:rsid w:val="000234A8"/>
    <w:rsid w:val="00023A76"/>
    <w:rsid w:val="00023B58"/>
    <w:rsid w:val="00023C29"/>
    <w:rsid w:val="00024142"/>
    <w:rsid w:val="00024495"/>
    <w:rsid w:val="0002489D"/>
    <w:rsid w:val="00025012"/>
    <w:rsid w:val="000252E5"/>
    <w:rsid w:val="0002530B"/>
    <w:rsid w:val="00025C9A"/>
    <w:rsid w:val="00025E57"/>
    <w:rsid w:val="000260BD"/>
    <w:rsid w:val="000260FF"/>
    <w:rsid w:val="00026455"/>
    <w:rsid w:val="0002661F"/>
    <w:rsid w:val="000266D2"/>
    <w:rsid w:val="00027A6B"/>
    <w:rsid w:val="00030007"/>
    <w:rsid w:val="00030F6C"/>
    <w:rsid w:val="0003122B"/>
    <w:rsid w:val="000317DE"/>
    <w:rsid w:val="00031E16"/>
    <w:rsid w:val="00031E84"/>
    <w:rsid w:val="0003214C"/>
    <w:rsid w:val="00032241"/>
    <w:rsid w:val="00032E37"/>
    <w:rsid w:val="00033519"/>
    <w:rsid w:val="00033567"/>
    <w:rsid w:val="00033869"/>
    <w:rsid w:val="00033EB5"/>
    <w:rsid w:val="00033F65"/>
    <w:rsid w:val="000341EA"/>
    <w:rsid w:val="00034508"/>
    <w:rsid w:val="000348DE"/>
    <w:rsid w:val="00034B29"/>
    <w:rsid w:val="0003544E"/>
    <w:rsid w:val="00035830"/>
    <w:rsid w:val="00035D96"/>
    <w:rsid w:val="0003646E"/>
    <w:rsid w:val="000367EE"/>
    <w:rsid w:val="00036804"/>
    <w:rsid w:val="00036A5C"/>
    <w:rsid w:val="00036F60"/>
    <w:rsid w:val="00037470"/>
    <w:rsid w:val="0003763F"/>
    <w:rsid w:val="000377AB"/>
    <w:rsid w:val="0003782E"/>
    <w:rsid w:val="00037A3E"/>
    <w:rsid w:val="00037E21"/>
    <w:rsid w:val="0004008E"/>
    <w:rsid w:val="00040511"/>
    <w:rsid w:val="00040B34"/>
    <w:rsid w:val="0004135C"/>
    <w:rsid w:val="00041B17"/>
    <w:rsid w:val="00041E0C"/>
    <w:rsid w:val="00041FE0"/>
    <w:rsid w:val="00042BB9"/>
    <w:rsid w:val="00043249"/>
    <w:rsid w:val="0004344E"/>
    <w:rsid w:val="000438C6"/>
    <w:rsid w:val="00043A4B"/>
    <w:rsid w:val="00043EBA"/>
    <w:rsid w:val="000440F0"/>
    <w:rsid w:val="00044177"/>
    <w:rsid w:val="00044298"/>
    <w:rsid w:val="000442D8"/>
    <w:rsid w:val="0004450C"/>
    <w:rsid w:val="000445AD"/>
    <w:rsid w:val="00044654"/>
    <w:rsid w:val="00044655"/>
    <w:rsid w:val="00044B8D"/>
    <w:rsid w:val="00044BD9"/>
    <w:rsid w:val="00044FDD"/>
    <w:rsid w:val="000459A0"/>
    <w:rsid w:val="000464A7"/>
    <w:rsid w:val="000464F1"/>
    <w:rsid w:val="00046804"/>
    <w:rsid w:val="00046CF8"/>
    <w:rsid w:val="000471B6"/>
    <w:rsid w:val="000477B7"/>
    <w:rsid w:val="00047973"/>
    <w:rsid w:val="00050021"/>
    <w:rsid w:val="000509F3"/>
    <w:rsid w:val="00050D84"/>
    <w:rsid w:val="00050F7D"/>
    <w:rsid w:val="0005135E"/>
    <w:rsid w:val="0005159D"/>
    <w:rsid w:val="0005163D"/>
    <w:rsid w:val="00051A25"/>
    <w:rsid w:val="00051A7A"/>
    <w:rsid w:val="0005232E"/>
    <w:rsid w:val="00052EF5"/>
    <w:rsid w:val="00053494"/>
    <w:rsid w:val="0005351F"/>
    <w:rsid w:val="0005378F"/>
    <w:rsid w:val="000540EE"/>
    <w:rsid w:val="0005435C"/>
    <w:rsid w:val="00054895"/>
    <w:rsid w:val="000548D9"/>
    <w:rsid w:val="000549A0"/>
    <w:rsid w:val="00054B0C"/>
    <w:rsid w:val="00054EB2"/>
    <w:rsid w:val="000551B8"/>
    <w:rsid w:val="0005530F"/>
    <w:rsid w:val="00055372"/>
    <w:rsid w:val="000556B9"/>
    <w:rsid w:val="000556CB"/>
    <w:rsid w:val="0005571B"/>
    <w:rsid w:val="00055972"/>
    <w:rsid w:val="00055AC7"/>
    <w:rsid w:val="00055F28"/>
    <w:rsid w:val="00056113"/>
    <w:rsid w:val="000561E4"/>
    <w:rsid w:val="00056567"/>
    <w:rsid w:val="000565AB"/>
    <w:rsid w:val="00056A71"/>
    <w:rsid w:val="00056B16"/>
    <w:rsid w:val="000572D0"/>
    <w:rsid w:val="00057342"/>
    <w:rsid w:val="000575CF"/>
    <w:rsid w:val="00057D7D"/>
    <w:rsid w:val="00057E03"/>
    <w:rsid w:val="00057F1E"/>
    <w:rsid w:val="0006004C"/>
    <w:rsid w:val="0006010A"/>
    <w:rsid w:val="0006041E"/>
    <w:rsid w:val="000607BD"/>
    <w:rsid w:val="000608AA"/>
    <w:rsid w:val="00060D9A"/>
    <w:rsid w:val="00060E4F"/>
    <w:rsid w:val="00061536"/>
    <w:rsid w:val="00061B53"/>
    <w:rsid w:val="00062063"/>
    <w:rsid w:val="00062536"/>
    <w:rsid w:val="00062792"/>
    <w:rsid w:val="00062E78"/>
    <w:rsid w:val="00063732"/>
    <w:rsid w:val="00063762"/>
    <w:rsid w:val="00063935"/>
    <w:rsid w:val="00063B77"/>
    <w:rsid w:val="00063D70"/>
    <w:rsid w:val="00063DD1"/>
    <w:rsid w:val="00063E7C"/>
    <w:rsid w:val="000647A0"/>
    <w:rsid w:val="00064A5C"/>
    <w:rsid w:val="00064A64"/>
    <w:rsid w:val="00064BBE"/>
    <w:rsid w:val="0006562F"/>
    <w:rsid w:val="00066A40"/>
    <w:rsid w:val="00066A76"/>
    <w:rsid w:val="00066C4E"/>
    <w:rsid w:val="0006741E"/>
    <w:rsid w:val="0006759C"/>
    <w:rsid w:val="0006793B"/>
    <w:rsid w:val="00067C2A"/>
    <w:rsid w:val="00067FC8"/>
    <w:rsid w:val="00070127"/>
    <w:rsid w:val="0007016F"/>
    <w:rsid w:val="0007025D"/>
    <w:rsid w:val="0007034C"/>
    <w:rsid w:val="00070B1A"/>
    <w:rsid w:val="00070B4F"/>
    <w:rsid w:val="00071248"/>
    <w:rsid w:val="0007137A"/>
    <w:rsid w:val="000715AE"/>
    <w:rsid w:val="00071E65"/>
    <w:rsid w:val="00071F11"/>
    <w:rsid w:val="00071F4A"/>
    <w:rsid w:val="00072768"/>
    <w:rsid w:val="000729D2"/>
    <w:rsid w:val="00072CB3"/>
    <w:rsid w:val="00072DC0"/>
    <w:rsid w:val="000734D7"/>
    <w:rsid w:val="000734EF"/>
    <w:rsid w:val="0007404F"/>
    <w:rsid w:val="00074763"/>
    <w:rsid w:val="0007479A"/>
    <w:rsid w:val="000748FE"/>
    <w:rsid w:val="00074B7D"/>
    <w:rsid w:val="00074C03"/>
    <w:rsid w:val="00074D27"/>
    <w:rsid w:val="00075056"/>
    <w:rsid w:val="00075100"/>
    <w:rsid w:val="00075324"/>
    <w:rsid w:val="00075FD8"/>
    <w:rsid w:val="000761BB"/>
    <w:rsid w:val="000761BF"/>
    <w:rsid w:val="000763EC"/>
    <w:rsid w:val="00076716"/>
    <w:rsid w:val="00076B13"/>
    <w:rsid w:val="00077232"/>
    <w:rsid w:val="00077367"/>
    <w:rsid w:val="0007787A"/>
    <w:rsid w:val="00077B42"/>
    <w:rsid w:val="00077F20"/>
    <w:rsid w:val="000803FC"/>
    <w:rsid w:val="00080BD1"/>
    <w:rsid w:val="00080EAA"/>
    <w:rsid w:val="000816B1"/>
    <w:rsid w:val="00081B5A"/>
    <w:rsid w:val="000824D6"/>
    <w:rsid w:val="000826B3"/>
    <w:rsid w:val="00082B33"/>
    <w:rsid w:val="00082B40"/>
    <w:rsid w:val="00082CBF"/>
    <w:rsid w:val="00082E59"/>
    <w:rsid w:val="0008309A"/>
    <w:rsid w:val="000830A3"/>
    <w:rsid w:val="00083CA8"/>
    <w:rsid w:val="00084100"/>
    <w:rsid w:val="000843F3"/>
    <w:rsid w:val="0008485F"/>
    <w:rsid w:val="00084C30"/>
    <w:rsid w:val="00084E2B"/>
    <w:rsid w:val="00085230"/>
    <w:rsid w:val="00086132"/>
    <w:rsid w:val="000867F9"/>
    <w:rsid w:val="00086D18"/>
    <w:rsid w:val="00086FA9"/>
    <w:rsid w:val="000878CA"/>
    <w:rsid w:val="000902FD"/>
    <w:rsid w:val="00090966"/>
    <w:rsid w:val="00090A53"/>
    <w:rsid w:val="00090AF2"/>
    <w:rsid w:val="00090BF9"/>
    <w:rsid w:val="00090CD1"/>
    <w:rsid w:val="00090D3E"/>
    <w:rsid w:val="00090EB0"/>
    <w:rsid w:val="0009100C"/>
    <w:rsid w:val="0009107D"/>
    <w:rsid w:val="000915CD"/>
    <w:rsid w:val="000923DC"/>
    <w:rsid w:val="000938C2"/>
    <w:rsid w:val="0009424B"/>
    <w:rsid w:val="000944FE"/>
    <w:rsid w:val="00094E53"/>
    <w:rsid w:val="00095885"/>
    <w:rsid w:val="00096087"/>
    <w:rsid w:val="00096807"/>
    <w:rsid w:val="0009688F"/>
    <w:rsid w:val="00096C29"/>
    <w:rsid w:val="00097017"/>
    <w:rsid w:val="000971A7"/>
    <w:rsid w:val="000973F9"/>
    <w:rsid w:val="00097632"/>
    <w:rsid w:val="000977CC"/>
    <w:rsid w:val="00097A1E"/>
    <w:rsid w:val="00097F0F"/>
    <w:rsid w:val="00097F96"/>
    <w:rsid w:val="000A013F"/>
    <w:rsid w:val="000A024F"/>
    <w:rsid w:val="000A0289"/>
    <w:rsid w:val="000A0830"/>
    <w:rsid w:val="000A08E0"/>
    <w:rsid w:val="000A0B46"/>
    <w:rsid w:val="000A0E18"/>
    <w:rsid w:val="000A0F4C"/>
    <w:rsid w:val="000A1533"/>
    <w:rsid w:val="000A20A2"/>
    <w:rsid w:val="000A21B8"/>
    <w:rsid w:val="000A21D9"/>
    <w:rsid w:val="000A2284"/>
    <w:rsid w:val="000A2C62"/>
    <w:rsid w:val="000A2F7D"/>
    <w:rsid w:val="000A308B"/>
    <w:rsid w:val="000A35E6"/>
    <w:rsid w:val="000A3778"/>
    <w:rsid w:val="000A4287"/>
    <w:rsid w:val="000A44E4"/>
    <w:rsid w:val="000A4779"/>
    <w:rsid w:val="000A47FB"/>
    <w:rsid w:val="000A498F"/>
    <w:rsid w:val="000A5408"/>
    <w:rsid w:val="000A5591"/>
    <w:rsid w:val="000A5FFD"/>
    <w:rsid w:val="000A60FE"/>
    <w:rsid w:val="000A6186"/>
    <w:rsid w:val="000A6581"/>
    <w:rsid w:val="000A6583"/>
    <w:rsid w:val="000A6A7D"/>
    <w:rsid w:val="000A6CEB"/>
    <w:rsid w:val="000A6D37"/>
    <w:rsid w:val="000A6EF8"/>
    <w:rsid w:val="000A74B2"/>
    <w:rsid w:val="000A798A"/>
    <w:rsid w:val="000A7ABD"/>
    <w:rsid w:val="000A7AE6"/>
    <w:rsid w:val="000A7B8A"/>
    <w:rsid w:val="000B14C7"/>
    <w:rsid w:val="000B16F0"/>
    <w:rsid w:val="000B1BA8"/>
    <w:rsid w:val="000B2393"/>
    <w:rsid w:val="000B3392"/>
    <w:rsid w:val="000B34F6"/>
    <w:rsid w:val="000B36AF"/>
    <w:rsid w:val="000B3A46"/>
    <w:rsid w:val="000B3D4F"/>
    <w:rsid w:val="000B48A6"/>
    <w:rsid w:val="000B48F6"/>
    <w:rsid w:val="000B4C07"/>
    <w:rsid w:val="000B4EC8"/>
    <w:rsid w:val="000B5072"/>
    <w:rsid w:val="000B508E"/>
    <w:rsid w:val="000B5523"/>
    <w:rsid w:val="000B5696"/>
    <w:rsid w:val="000B5E17"/>
    <w:rsid w:val="000B6132"/>
    <w:rsid w:val="000B6775"/>
    <w:rsid w:val="000B693B"/>
    <w:rsid w:val="000B69ED"/>
    <w:rsid w:val="000B7E1F"/>
    <w:rsid w:val="000C0304"/>
    <w:rsid w:val="000C0415"/>
    <w:rsid w:val="000C06D6"/>
    <w:rsid w:val="000C06D7"/>
    <w:rsid w:val="000C1847"/>
    <w:rsid w:val="000C1D2C"/>
    <w:rsid w:val="000C2571"/>
    <w:rsid w:val="000C2632"/>
    <w:rsid w:val="000C27AC"/>
    <w:rsid w:val="000C295E"/>
    <w:rsid w:val="000C352C"/>
    <w:rsid w:val="000C3D1A"/>
    <w:rsid w:val="000C3DF0"/>
    <w:rsid w:val="000C3FF2"/>
    <w:rsid w:val="000C4354"/>
    <w:rsid w:val="000C4672"/>
    <w:rsid w:val="000C498C"/>
    <w:rsid w:val="000C4DDD"/>
    <w:rsid w:val="000C506D"/>
    <w:rsid w:val="000C533E"/>
    <w:rsid w:val="000C53C5"/>
    <w:rsid w:val="000C56C6"/>
    <w:rsid w:val="000C5C1D"/>
    <w:rsid w:val="000C5F12"/>
    <w:rsid w:val="000C66BF"/>
    <w:rsid w:val="000C6F08"/>
    <w:rsid w:val="000C7202"/>
    <w:rsid w:val="000C7760"/>
    <w:rsid w:val="000C78C6"/>
    <w:rsid w:val="000D00F9"/>
    <w:rsid w:val="000D048C"/>
    <w:rsid w:val="000D05BB"/>
    <w:rsid w:val="000D0818"/>
    <w:rsid w:val="000D08F6"/>
    <w:rsid w:val="000D0ABB"/>
    <w:rsid w:val="000D0FD6"/>
    <w:rsid w:val="000D11EC"/>
    <w:rsid w:val="000D1449"/>
    <w:rsid w:val="000D1E42"/>
    <w:rsid w:val="000D1EE9"/>
    <w:rsid w:val="000D285B"/>
    <w:rsid w:val="000D2A72"/>
    <w:rsid w:val="000D2A90"/>
    <w:rsid w:val="000D2DF2"/>
    <w:rsid w:val="000D2E10"/>
    <w:rsid w:val="000D33A0"/>
    <w:rsid w:val="000D3449"/>
    <w:rsid w:val="000D355B"/>
    <w:rsid w:val="000D398D"/>
    <w:rsid w:val="000D3D7D"/>
    <w:rsid w:val="000D43BE"/>
    <w:rsid w:val="000D451E"/>
    <w:rsid w:val="000D45C5"/>
    <w:rsid w:val="000D45FB"/>
    <w:rsid w:val="000D4D41"/>
    <w:rsid w:val="000D4E89"/>
    <w:rsid w:val="000D5003"/>
    <w:rsid w:val="000D5052"/>
    <w:rsid w:val="000D5385"/>
    <w:rsid w:val="000D62DE"/>
    <w:rsid w:val="000D6334"/>
    <w:rsid w:val="000D65C1"/>
    <w:rsid w:val="000D7AC5"/>
    <w:rsid w:val="000D7C4E"/>
    <w:rsid w:val="000E089B"/>
    <w:rsid w:val="000E0CA4"/>
    <w:rsid w:val="000E0DAD"/>
    <w:rsid w:val="000E1196"/>
    <w:rsid w:val="000E1C96"/>
    <w:rsid w:val="000E2363"/>
    <w:rsid w:val="000E2CEB"/>
    <w:rsid w:val="000E3117"/>
    <w:rsid w:val="000E3178"/>
    <w:rsid w:val="000E33DF"/>
    <w:rsid w:val="000E3C19"/>
    <w:rsid w:val="000E3F7F"/>
    <w:rsid w:val="000E4D45"/>
    <w:rsid w:val="000E506E"/>
    <w:rsid w:val="000E586B"/>
    <w:rsid w:val="000E5B28"/>
    <w:rsid w:val="000E6178"/>
    <w:rsid w:val="000E6481"/>
    <w:rsid w:val="000E6550"/>
    <w:rsid w:val="000E6707"/>
    <w:rsid w:val="000E7595"/>
    <w:rsid w:val="000E7618"/>
    <w:rsid w:val="000E783C"/>
    <w:rsid w:val="000E7AD0"/>
    <w:rsid w:val="000F0E78"/>
    <w:rsid w:val="000F1149"/>
    <w:rsid w:val="000F17C2"/>
    <w:rsid w:val="000F1A04"/>
    <w:rsid w:val="000F225E"/>
    <w:rsid w:val="000F2B73"/>
    <w:rsid w:val="000F2C3A"/>
    <w:rsid w:val="000F3057"/>
    <w:rsid w:val="000F32A2"/>
    <w:rsid w:val="000F32EE"/>
    <w:rsid w:val="000F3503"/>
    <w:rsid w:val="000F36D7"/>
    <w:rsid w:val="000F384F"/>
    <w:rsid w:val="000F3860"/>
    <w:rsid w:val="000F3B7C"/>
    <w:rsid w:val="000F3BCB"/>
    <w:rsid w:val="000F4082"/>
    <w:rsid w:val="000F41B2"/>
    <w:rsid w:val="000F4475"/>
    <w:rsid w:val="000F468D"/>
    <w:rsid w:val="000F477E"/>
    <w:rsid w:val="000F51C9"/>
    <w:rsid w:val="000F55A3"/>
    <w:rsid w:val="000F5920"/>
    <w:rsid w:val="000F5CDD"/>
    <w:rsid w:val="000F5DE0"/>
    <w:rsid w:val="000F615E"/>
    <w:rsid w:val="000F6317"/>
    <w:rsid w:val="000F635E"/>
    <w:rsid w:val="000F64F0"/>
    <w:rsid w:val="000F6504"/>
    <w:rsid w:val="000F6944"/>
    <w:rsid w:val="000F6AFE"/>
    <w:rsid w:val="000F752D"/>
    <w:rsid w:val="000F797F"/>
    <w:rsid w:val="001003F0"/>
    <w:rsid w:val="0010065E"/>
    <w:rsid w:val="00100A81"/>
    <w:rsid w:val="0010116A"/>
    <w:rsid w:val="001011C4"/>
    <w:rsid w:val="00101F60"/>
    <w:rsid w:val="00102066"/>
    <w:rsid w:val="00102789"/>
    <w:rsid w:val="00102C1E"/>
    <w:rsid w:val="00103DC8"/>
    <w:rsid w:val="00103E01"/>
    <w:rsid w:val="00104533"/>
    <w:rsid w:val="001047C6"/>
    <w:rsid w:val="00105150"/>
    <w:rsid w:val="001058D3"/>
    <w:rsid w:val="00105D4D"/>
    <w:rsid w:val="00105EF0"/>
    <w:rsid w:val="001060F5"/>
    <w:rsid w:val="001068EA"/>
    <w:rsid w:val="00106D42"/>
    <w:rsid w:val="001071AE"/>
    <w:rsid w:val="00107472"/>
    <w:rsid w:val="001077D3"/>
    <w:rsid w:val="00107D07"/>
    <w:rsid w:val="00107F7C"/>
    <w:rsid w:val="00110171"/>
    <w:rsid w:val="00110535"/>
    <w:rsid w:val="001106D9"/>
    <w:rsid w:val="001107FC"/>
    <w:rsid w:val="00110869"/>
    <w:rsid w:val="00110B0F"/>
    <w:rsid w:val="00111347"/>
    <w:rsid w:val="0011158A"/>
    <w:rsid w:val="001115B0"/>
    <w:rsid w:val="00111710"/>
    <w:rsid w:val="00111777"/>
    <w:rsid w:val="00111F0E"/>
    <w:rsid w:val="001123E5"/>
    <w:rsid w:val="0011260C"/>
    <w:rsid w:val="00112F30"/>
    <w:rsid w:val="00113106"/>
    <w:rsid w:val="001134AE"/>
    <w:rsid w:val="00113B22"/>
    <w:rsid w:val="0011420C"/>
    <w:rsid w:val="0011459A"/>
    <w:rsid w:val="001149D1"/>
    <w:rsid w:val="00114C2F"/>
    <w:rsid w:val="001156B1"/>
    <w:rsid w:val="00115B6D"/>
    <w:rsid w:val="00115EED"/>
    <w:rsid w:val="001166C1"/>
    <w:rsid w:val="00116F69"/>
    <w:rsid w:val="0011725F"/>
    <w:rsid w:val="00117E23"/>
    <w:rsid w:val="00117FD1"/>
    <w:rsid w:val="00120135"/>
    <w:rsid w:val="0012047E"/>
    <w:rsid w:val="00120E77"/>
    <w:rsid w:val="0012128B"/>
    <w:rsid w:val="00121376"/>
    <w:rsid w:val="00121DBA"/>
    <w:rsid w:val="00122301"/>
    <w:rsid w:val="00123B59"/>
    <w:rsid w:val="00124080"/>
    <w:rsid w:val="00124EF1"/>
    <w:rsid w:val="001252EE"/>
    <w:rsid w:val="0012547F"/>
    <w:rsid w:val="00125CE9"/>
    <w:rsid w:val="00125E42"/>
    <w:rsid w:val="00126D7F"/>
    <w:rsid w:val="001274AB"/>
    <w:rsid w:val="00127659"/>
    <w:rsid w:val="00127866"/>
    <w:rsid w:val="00127D0D"/>
    <w:rsid w:val="001304B5"/>
    <w:rsid w:val="00130603"/>
    <w:rsid w:val="0013084B"/>
    <w:rsid w:val="001309D3"/>
    <w:rsid w:val="001310FB"/>
    <w:rsid w:val="0013167C"/>
    <w:rsid w:val="001318A3"/>
    <w:rsid w:val="00131A2B"/>
    <w:rsid w:val="001327E0"/>
    <w:rsid w:val="00133018"/>
    <w:rsid w:val="001330DE"/>
    <w:rsid w:val="001331CC"/>
    <w:rsid w:val="00133902"/>
    <w:rsid w:val="0013431E"/>
    <w:rsid w:val="001348D8"/>
    <w:rsid w:val="00134F15"/>
    <w:rsid w:val="00135162"/>
    <w:rsid w:val="00135392"/>
    <w:rsid w:val="001354E3"/>
    <w:rsid w:val="00135706"/>
    <w:rsid w:val="00136B4B"/>
    <w:rsid w:val="00136BBF"/>
    <w:rsid w:val="00137651"/>
    <w:rsid w:val="00137C16"/>
    <w:rsid w:val="00137F67"/>
    <w:rsid w:val="001407AF"/>
    <w:rsid w:val="00140EE1"/>
    <w:rsid w:val="00140FA1"/>
    <w:rsid w:val="001411C6"/>
    <w:rsid w:val="00141A1A"/>
    <w:rsid w:val="00141B89"/>
    <w:rsid w:val="0014269F"/>
    <w:rsid w:val="00142791"/>
    <w:rsid w:val="00142AE7"/>
    <w:rsid w:val="00142B69"/>
    <w:rsid w:val="00142D7F"/>
    <w:rsid w:val="00142F51"/>
    <w:rsid w:val="00143544"/>
    <w:rsid w:val="00143B00"/>
    <w:rsid w:val="00143B91"/>
    <w:rsid w:val="00143D63"/>
    <w:rsid w:val="00143F97"/>
    <w:rsid w:val="001441A6"/>
    <w:rsid w:val="001443C3"/>
    <w:rsid w:val="0014460C"/>
    <w:rsid w:val="001447EB"/>
    <w:rsid w:val="00145010"/>
    <w:rsid w:val="0014522F"/>
    <w:rsid w:val="001455F1"/>
    <w:rsid w:val="00145816"/>
    <w:rsid w:val="00145FDE"/>
    <w:rsid w:val="00146321"/>
    <w:rsid w:val="00146350"/>
    <w:rsid w:val="0014662F"/>
    <w:rsid w:val="0014673C"/>
    <w:rsid w:val="0014674B"/>
    <w:rsid w:val="00146C58"/>
    <w:rsid w:val="00146D5A"/>
    <w:rsid w:val="00146DAE"/>
    <w:rsid w:val="00147186"/>
    <w:rsid w:val="001472DC"/>
    <w:rsid w:val="00147529"/>
    <w:rsid w:val="00147A34"/>
    <w:rsid w:val="00147B90"/>
    <w:rsid w:val="00147ECB"/>
    <w:rsid w:val="0015031A"/>
    <w:rsid w:val="0015056C"/>
    <w:rsid w:val="00150C86"/>
    <w:rsid w:val="00151E82"/>
    <w:rsid w:val="0015241F"/>
    <w:rsid w:val="001529F6"/>
    <w:rsid w:val="00152AC3"/>
    <w:rsid w:val="00152D55"/>
    <w:rsid w:val="0015303C"/>
    <w:rsid w:val="0015306C"/>
    <w:rsid w:val="00153156"/>
    <w:rsid w:val="00153474"/>
    <w:rsid w:val="00153794"/>
    <w:rsid w:val="00153DFA"/>
    <w:rsid w:val="00153E02"/>
    <w:rsid w:val="001540FE"/>
    <w:rsid w:val="001542A8"/>
    <w:rsid w:val="00155458"/>
    <w:rsid w:val="00155610"/>
    <w:rsid w:val="0015568A"/>
    <w:rsid w:val="00155911"/>
    <w:rsid w:val="00155D98"/>
    <w:rsid w:val="0015600E"/>
    <w:rsid w:val="001566BA"/>
    <w:rsid w:val="001567E7"/>
    <w:rsid w:val="0015686F"/>
    <w:rsid w:val="00156889"/>
    <w:rsid w:val="00156C3E"/>
    <w:rsid w:val="0015704A"/>
    <w:rsid w:val="001571F9"/>
    <w:rsid w:val="0015737E"/>
    <w:rsid w:val="00157CFD"/>
    <w:rsid w:val="00157E85"/>
    <w:rsid w:val="0016045E"/>
    <w:rsid w:val="00160F58"/>
    <w:rsid w:val="001614E1"/>
    <w:rsid w:val="001617DC"/>
    <w:rsid w:val="00161809"/>
    <w:rsid w:val="0016180B"/>
    <w:rsid w:val="00161F04"/>
    <w:rsid w:val="00162080"/>
    <w:rsid w:val="001623DF"/>
    <w:rsid w:val="00162560"/>
    <w:rsid w:val="001625D0"/>
    <w:rsid w:val="00162901"/>
    <w:rsid w:val="00162B97"/>
    <w:rsid w:val="00162C8F"/>
    <w:rsid w:val="00162DAA"/>
    <w:rsid w:val="00163153"/>
    <w:rsid w:val="001638EC"/>
    <w:rsid w:val="00164207"/>
    <w:rsid w:val="001643BA"/>
    <w:rsid w:val="00164A98"/>
    <w:rsid w:val="00164D85"/>
    <w:rsid w:val="00166EBA"/>
    <w:rsid w:val="00167101"/>
    <w:rsid w:val="0017005A"/>
    <w:rsid w:val="00170DFF"/>
    <w:rsid w:val="001726EB"/>
    <w:rsid w:val="0017290C"/>
    <w:rsid w:val="00172B6E"/>
    <w:rsid w:val="00172BBE"/>
    <w:rsid w:val="00172E20"/>
    <w:rsid w:val="0017375D"/>
    <w:rsid w:val="00173799"/>
    <w:rsid w:val="0017399E"/>
    <w:rsid w:val="00173D7D"/>
    <w:rsid w:val="00173FDC"/>
    <w:rsid w:val="001748C7"/>
    <w:rsid w:val="00174F5B"/>
    <w:rsid w:val="00174F8B"/>
    <w:rsid w:val="00175107"/>
    <w:rsid w:val="001754B1"/>
    <w:rsid w:val="001755F4"/>
    <w:rsid w:val="0017576B"/>
    <w:rsid w:val="00175918"/>
    <w:rsid w:val="0017591A"/>
    <w:rsid w:val="00175BAC"/>
    <w:rsid w:val="00176215"/>
    <w:rsid w:val="0017626D"/>
    <w:rsid w:val="001762DA"/>
    <w:rsid w:val="0017651C"/>
    <w:rsid w:val="00176704"/>
    <w:rsid w:val="0017674A"/>
    <w:rsid w:val="00176C22"/>
    <w:rsid w:val="00176DEF"/>
    <w:rsid w:val="0017747C"/>
    <w:rsid w:val="001774AD"/>
    <w:rsid w:val="00177976"/>
    <w:rsid w:val="00177A33"/>
    <w:rsid w:val="00177F10"/>
    <w:rsid w:val="00177F57"/>
    <w:rsid w:val="0018017B"/>
    <w:rsid w:val="0018089C"/>
    <w:rsid w:val="00181244"/>
    <w:rsid w:val="001816EB"/>
    <w:rsid w:val="00181BBD"/>
    <w:rsid w:val="00181C67"/>
    <w:rsid w:val="00181D07"/>
    <w:rsid w:val="00181E7A"/>
    <w:rsid w:val="0018211F"/>
    <w:rsid w:val="00182292"/>
    <w:rsid w:val="00182770"/>
    <w:rsid w:val="001829DD"/>
    <w:rsid w:val="00182CA1"/>
    <w:rsid w:val="00183363"/>
    <w:rsid w:val="0018347B"/>
    <w:rsid w:val="00183C1B"/>
    <w:rsid w:val="00183CCE"/>
    <w:rsid w:val="00183D92"/>
    <w:rsid w:val="00184AA4"/>
    <w:rsid w:val="00184B18"/>
    <w:rsid w:val="00184BCE"/>
    <w:rsid w:val="00184E65"/>
    <w:rsid w:val="0018509D"/>
    <w:rsid w:val="00185527"/>
    <w:rsid w:val="00185D47"/>
    <w:rsid w:val="00185FE5"/>
    <w:rsid w:val="0018613E"/>
    <w:rsid w:val="0018637D"/>
    <w:rsid w:val="00186638"/>
    <w:rsid w:val="001868FF"/>
    <w:rsid w:val="00186B8E"/>
    <w:rsid w:val="00186D11"/>
    <w:rsid w:val="001875AB"/>
    <w:rsid w:val="00190860"/>
    <w:rsid w:val="001909E5"/>
    <w:rsid w:val="00190F06"/>
    <w:rsid w:val="00191551"/>
    <w:rsid w:val="001917DE"/>
    <w:rsid w:val="00191A6D"/>
    <w:rsid w:val="00191D2F"/>
    <w:rsid w:val="00191F69"/>
    <w:rsid w:val="00192102"/>
    <w:rsid w:val="001922D9"/>
    <w:rsid w:val="001923E3"/>
    <w:rsid w:val="00192618"/>
    <w:rsid w:val="00192812"/>
    <w:rsid w:val="00192826"/>
    <w:rsid w:val="001939D9"/>
    <w:rsid w:val="00193B49"/>
    <w:rsid w:val="00193BFC"/>
    <w:rsid w:val="00194333"/>
    <w:rsid w:val="00194BA9"/>
    <w:rsid w:val="00194EE1"/>
    <w:rsid w:val="00195F54"/>
    <w:rsid w:val="00196502"/>
    <w:rsid w:val="00196AC3"/>
    <w:rsid w:val="00196B8C"/>
    <w:rsid w:val="00196E4C"/>
    <w:rsid w:val="0019742F"/>
    <w:rsid w:val="0019755B"/>
    <w:rsid w:val="0019774B"/>
    <w:rsid w:val="00197758"/>
    <w:rsid w:val="00197A85"/>
    <w:rsid w:val="00197AC9"/>
    <w:rsid w:val="00197B08"/>
    <w:rsid w:val="00197DE3"/>
    <w:rsid w:val="00197F8A"/>
    <w:rsid w:val="001A07EF"/>
    <w:rsid w:val="001A0917"/>
    <w:rsid w:val="001A0CB6"/>
    <w:rsid w:val="001A1150"/>
    <w:rsid w:val="001A1400"/>
    <w:rsid w:val="001A17A2"/>
    <w:rsid w:val="001A1BF2"/>
    <w:rsid w:val="001A1E4A"/>
    <w:rsid w:val="001A2021"/>
    <w:rsid w:val="001A22B1"/>
    <w:rsid w:val="001A2986"/>
    <w:rsid w:val="001A2B30"/>
    <w:rsid w:val="001A2D26"/>
    <w:rsid w:val="001A30B3"/>
    <w:rsid w:val="001A3B22"/>
    <w:rsid w:val="001A3E87"/>
    <w:rsid w:val="001A44AC"/>
    <w:rsid w:val="001A497E"/>
    <w:rsid w:val="001A49C9"/>
    <w:rsid w:val="001A5491"/>
    <w:rsid w:val="001A579A"/>
    <w:rsid w:val="001A584F"/>
    <w:rsid w:val="001A594E"/>
    <w:rsid w:val="001A5BD1"/>
    <w:rsid w:val="001A5CD7"/>
    <w:rsid w:val="001A60F2"/>
    <w:rsid w:val="001A6DAD"/>
    <w:rsid w:val="001A7113"/>
    <w:rsid w:val="001A753E"/>
    <w:rsid w:val="001A761A"/>
    <w:rsid w:val="001A79A9"/>
    <w:rsid w:val="001A7B9D"/>
    <w:rsid w:val="001A7D44"/>
    <w:rsid w:val="001A7F0F"/>
    <w:rsid w:val="001B030E"/>
    <w:rsid w:val="001B0379"/>
    <w:rsid w:val="001B063C"/>
    <w:rsid w:val="001B0738"/>
    <w:rsid w:val="001B0A39"/>
    <w:rsid w:val="001B0CF4"/>
    <w:rsid w:val="001B0DA6"/>
    <w:rsid w:val="001B0DD9"/>
    <w:rsid w:val="001B0E9A"/>
    <w:rsid w:val="001B0F8B"/>
    <w:rsid w:val="001B14E4"/>
    <w:rsid w:val="001B1BCE"/>
    <w:rsid w:val="001B22CF"/>
    <w:rsid w:val="001B25DA"/>
    <w:rsid w:val="001B263B"/>
    <w:rsid w:val="001B2AEE"/>
    <w:rsid w:val="001B2B3F"/>
    <w:rsid w:val="001B3329"/>
    <w:rsid w:val="001B3622"/>
    <w:rsid w:val="001B3854"/>
    <w:rsid w:val="001B3A9E"/>
    <w:rsid w:val="001B43BC"/>
    <w:rsid w:val="001B4D70"/>
    <w:rsid w:val="001B56A2"/>
    <w:rsid w:val="001B570B"/>
    <w:rsid w:val="001B5A8E"/>
    <w:rsid w:val="001B6223"/>
    <w:rsid w:val="001B6B6B"/>
    <w:rsid w:val="001B7015"/>
    <w:rsid w:val="001B7A8D"/>
    <w:rsid w:val="001B7ABB"/>
    <w:rsid w:val="001C05C4"/>
    <w:rsid w:val="001C0BBD"/>
    <w:rsid w:val="001C0FE4"/>
    <w:rsid w:val="001C127F"/>
    <w:rsid w:val="001C1A16"/>
    <w:rsid w:val="001C2665"/>
    <w:rsid w:val="001C26B4"/>
    <w:rsid w:val="001C2765"/>
    <w:rsid w:val="001C27F8"/>
    <w:rsid w:val="001C2A72"/>
    <w:rsid w:val="001C2B79"/>
    <w:rsid w:val="001C3F4A"/>
    <w:rsid w:val="001C4A7A"/>
    <w:rsid w:val="001C4F54"/>
    <w:rsid w:val="001C502A"/>
    <w:rsid w:val="001C505F"/>
    <w:rsid w:val="001C53C6"/>
    <w:rsid w:val="001C5460"/>
    <w:rsid w:val="001C576B"/>
    <w:rsid w:val="001C577A"/>
    <w:rsid w:val="001C59E3"/>
    <w:rsid w:val="001C5D45"/>
    <w:rsid w:val="001C60E3"/>
    <w:rsid w:val="001C621F"/>
    <w:rsid w:val="001C64FC"/>
    <w:rsid w:val="001C677D"/>
    <w:rsid w:val="001C6898"/>
    <w:rsid w:val="001C6E41"/>
    <w:rsid w:val="001C7024"/>
    <w:rsid w:val="001C71A7"/>
    <w:rsid w:val="001C7441"/>
    <w:rsid w:val="001C7E82"/>
    <w:rsid w:val="001D0487"/>
    <w:rsid w:val="001D066F"/>
    <w:rsid w:val="001D085B"/>
    <w:rsid w:val="001D0B24"/>
    <w:rsid w:val="001D0B98"/>
    <w:rsid w:val="001D0F8F"/>
    <w:rsid w:val="001D124F"/>
    <w:rsid w:val="001D15C1"/>
    <w:rsid w:val="001D1EB5"/>
    <w:rsid w:val="001D2097"/>
    <w:rsid w:val="001D2681"/>
    <w:rsid w:val="001D26AF"/>
    <w:rsid w:val="001D3679"/>
    <w:rsid w:val="001D3AB7"/>
    <w:rsid w:val="001D45FA"/>
    <w:rsid w:val="001D4798"/>
    <w:rsid w:val="001D485D"/>
    <w:rsid w:val="001D559E"/>
    <w:rsid w:val="001D5B18"/>
    <w:rsid w:val="001D669C"/>
    <w:rsid w:val="001D734E"/>
    <w:rsid w:val="001D7438"/>
    <w:rsid w:val="001D7CB4"/>
    <w:rsid w:val="001D7E35"/>
    <w:rsid w:val="001E0176"/>
    <w:rsid w:val="001E0A62"/>
    <w:rsid w:val="001E0F01"/>
    <w:rsid w:val="001E152F"/>
    <w:rsid w:val="001E2955"/>
    <w:rsid w:val="001E3017"/>
    <w:rsid w:val="001E361F"/>
    <w:rsid w:val="001E3650"/>
    <w:rsid w:val="001E401E"/>
    <w:rsid w:val="001E4241"/>
    <w:rsid w:val="001E5527"/>
    <w:rsid w:val="001E5562"/>
    <w:rsid w:val="001E5CAF"/>
    <w:rsid w:val="001E61F7"/>
    <w:rsid w:val="001E6563"/>
    <w:rsid w:val="001E78BD"/>
    <w:rsid w:val="001E7C29"/>
    <w:rsid w:val="001E7D8C"/>
    <w:rsid w:val="001E7E9D"/>
    <w:rsid w:val="001F0014"/>
    <w:rsid w:val="001F0209"/>
    <w:rsid w:val="001F0632"/>
    <w:rsid w:val="001F0D77"/>
    <w:rsid w:val="001F0DE9"/>
    <w:rsid w:val="001F0E3E"/>
    <w:rsid w:val="001F0F81"/>
    <w:rsid w:val="001F12F8"/>
    <w:rsid w:val="001F131B"/>
    <w:rsid w:val="001F1397"/>
    <w:rsid w:val="001F16DE"/>
    <w:rsid w:val="001F1973"/>
    <w:rsid w:val="001F1A07"/>
    <w:rsid w:val="001F1A8A"/>
    <w:rsid w:val="001F1D15"/>
    <w:rsid w:val="001F2895"/>
    <w:rsid w:val="001F4133"/>
    <w:rsid w:val="001F4467"/>
    <w:rsid w:val="001F44E0"/>
    <w:rsid w:val="001F4987"/>
    <w:rsid w:val="001F49F2"/>
    <w:rsid w:val="001F4B06"/>
    <w:rsid w:val="001F4BA5"/>
    <w:rsid w:val="001F4E51"/>
    <w:rsid w:val="001F51F2"/>
    <w:rsid w:val="001F58A3"/>
    <w:rsid w:val="001F608E"/>
    <w:rsid w:val="001F61BB"/>
    <w:rsid w:val="001F627B"/>
    <w:rsid w:val="001F6948"/>
    <w:rsid w:val="001F6E52"/>
    <w:rsid w:val="001F731B"/>
    <w:rsid w:val="001F77EF"/>
    <w:rsid w:val="001F7909"/>
    <w:rsid w:val="001F7BE8"/>
    <w:rsid w:val="00200053"/>
    <w:rsid w:val="00200AF5"/>
    <w:rsid w:val="002018E2"/>
    <w:rsid w:val="00201B77"/>
    <w:rsid w:val="00201EB1"/>
    <w:rsid w:val="002021E0"/>
    <w:rsid w:val="002022B1"/>
    <w:rsid w:val="00202506"/>
    <w:rsid w:val="002026B3"/>
    <w:rsid w:val="0020280D"/>
    <w:rsid w:val="00202E24"/>
    <w:rsid w:val="0020310F"/>
    <w:rsid w:val="0020342A"/>
    <w:rsid w:val="0020351D"/>
    <w:rsid w:val="00203894"/>
    <w:rsid w:val="00203A61"/>
    <w:rsid w:val="00203C11"/>
    <w:rsid w:val="0020477E"/>
    <w:rsid w:val="00204C05"/>
    <w:rsid w:val="00204E38"/>
    <w:rsid w:val="00204FE1"/>
    <w:rsid w:val="00205234"/>
    <w:rsid w:val="0020563D"/>
    <w:rsid w:val="00205829"/>
    <w:rsid w:val="00205A02"/>
    <w:rsid w:val="00205B65"/>
    <w:rsid w:val="0020620C"/>
    <w:rsid w:val="002067D4"/>
    <w:rsid w:val="002068FA"/>
    <w:rsid w:val="00206DD7"/>
    <w:rsid w:val="002078C3"/>
    <w:rsid w:val="002102D3"/>
    <w:rsid w:val="00210381"/>
    <w:rsid w:val="002106F7"/>
    <w:rsid w:val="00210C35"/>
    <w:rsid w:val="00210CB9"/>
    <w:rsid w:val="00211045"/>
    <w:rsid w:val="00211050"/>
    <w:rsid w:val="0021124D"/>
    <w:rsid w:val="00211985"/>
    <w:rsid w:val="00211AE1"/>
    <w:rsid w:val="00211BEA"/>
    <w:rsid w:val="00211D8B"/>
    <w:rsid w:val="002122DF"/>
    <w:rsid w:val="0021263D"/>
    <w:rsid w:val="00212698"/>
    <w:rsid w:val="002128F2"/>
    <w:rsid w:val="00212B0D"/>
    <w:rsid w:val="00212E44"/>
    <w:rsid w:val="00212ED0"/>
    <w:rsid w:val="0021324D"/>
    <w:rsid w:val="002136F7"/>
    <w:rsid w:val="00213AEE"/>
    <w:rsid w:val="00213B3C"/>
    <w:rsid w:val="00214157"/>
    <w:rsid w:val="002141BC"/>
    <w:rsid w:val="00214320"/>
    <w:rsid w:val="00214C11"/>
    <w:rsid w:val="002157E8"/>
    <w:rsid w:val="0021581F"/>
    <w:rsid w:val="00216441"/>
    <w:rsid w:val="002165C8"/>
    <w:rsid w:val="002168D9"/>
    <w:rsid w:val="0021693A"/>
    <w:rsid w:val="00216D60"/>
    <w:rsid w:val="00217471"/>
    <w:rsid w:val="00217A5E"/>
    <w:rsid w:val="00217B9A"/>
    <w:rsid w:val="00217EE7"/>
    <w:rsid w:val="00220076"/>
    <w:rsid w:val="002201F1"/>
    <w:rsid w:val="0022073C"/>
    <w:rsid w:val="00221020"/>
    <w:rsid w:val="002213E3"/>
    <w:rsid w:val="00221CCB"/>
    <w:rsid w:val="00221DB3"/>
    <w:rsid w:val="00221ED4"/>
    <w:rsid w:val="00222128"/>
    <w:rsid w:val="0022282B"/>
    <w:rsid w:val="00222B80"/>
    <w:rsid w:val="0022359C"/>
    <w:rsid w:val="002239A2"/>
    <w:rsid w:val="00223E6D"/>
    <w:rsid w:val="00223FD3"/>
    <w:rsid w:val="002242A3"/>
    <w:rsid w:val="002242E9"/>
    <w:rsid w:val="00224417"/>
    <w:rsid w:val="00224938"/>
    <w:rsid w:val="002250C4"/>
    <w:rsid w:val="00225248"/>
    <w:rsid w:val="0022541B"/>
    <w:rsid w:val="002254DD"/>
    <w:rsid w:val="00225AFE"/>
    <w:rsid w:val="00225B5C"/>
    <w:rsid w:val="00225C18"/>
    <w:rsid w:val="002260A4"/>
    <w:rsid w:val="0022640B"/>
    <w:rsid w:val="00226584"/>
    <w:rsid w:val="002266EB"/>
    <w:rsid w:val="00226878"/>
    <w:rsid w:val="002268E8"/>
    <w:rsid w:val="0022691E"/>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9A5"/>
    <w:rsid w:val="00234A45"/>
    <w:rsid w:val="00234D78"/>
    <w:rsid w:val="00234E8E"/>
    <w:rsid w:val="00234E92"/>
    <w:rsid w:val="00235AE4"/>
    <w:rsid w:val="00235F3D"/>
    <w:rsid w:val="002367DC"/>
    <w:rsid w:val="0023688D"/>
    <w:rsid w:val="0023693F"/>
    <w:rsid w:val="002369B0"/>
    <w:rsid w:val="00236A33"/>
    <w:rsid w:val="00236E5E"/>
    <w:rsid w:val="0023749D"/>
    <w:rsid w:val="00237FE5"/>
    <w:rsid w:val="00240395"/>
    <w:rsid w:val="00240789"/>
    <w:rsid w:val="00240BF7"/>
    <w:rsid w:val="0024186C"/>
    <w:rsid w:val="00241BA7"/>
    <w:rsid w:val="00241CD9"/>
    <w:rsid w:val="00242B34"/>
    <w:rsid w:val="00243032"/>
    <w:rsid w:val="00243069"/>
    <w:rsid w:val="00243217"/>
    <w:rsid w:val="002432DF"/>
    <w:rsid w:val="0024349A"/>
    <w:rsid w:val="002438E1"/>
    <w:rsid w:val="00243D31"/>
    <w:rsid w:val="00243DCD"/>
    <w:rsid w:val="00244D1E"/>
    <w:rsid w:val="00245C33"/>
    <w:rsid w:val="00245E2A"/>
    <w:rsid w:val="002460CE"/>
    <w:rsid w:val="002462B2"/>
    <w:rsid w:val="00246539"/>
    <w:rsid w:val="00247233"/>
    <w:rsid w:val="00247730"/>
    <w:rsid w:val="002479BE"/>
    <w:rsid w:val="00247DAF"/>
    <w:rsid w:val="00247F33"/>
    <w:rsid w:val="002500DF"/>
    <w:rsid w:val="002500E5"/>
    <w:rsid w:val="00250105"/>
    <w:rsid w:val="00250821"/>
    <w:rsid w:val="00250882"/>
    <w:rsid w:val="00250CBA"/>
    <w:rsid w:val="00251CD1"/>
    <w:rsid w:val="00251D3E"/>
    <w:rsid w:val="0025203A"/>
    <w:rsid w:val="0025249D"/>
    <w:rsid w:val="0025249E"/>
    <w:rsid w:val="002525B0"/>
    <w:rsid w:val="002528C2"/>
    <w:rsid w:val="00253370"/>
    <w:rsid w:val="002535D2"/>
    <w:rsid w:val="002537BB"/>
    <w:rsid w:val="002538D8"/>
    <w:rsid w:val="00254005"/>
    <w:rsid w:val="002542DC"/>
    <w:rsid w:val="0025478C"/>
    <w:rsid w:val="00254E0E"/>
    <w:rsid w:val="00254EA4"/>
    <w:rsid w:val="00254F75"/>
    <w:rsid w:val="00254FC2"/>
    <w:rsid w:val="0025519D"/>
    <w:rsid w:val="002555DF"/>
    <w:rsid w:val="00255C9D"/>
    <w:rsid w:val="00256632"/>
    <w:rsid w:val="00256BA7"/>
    <w:rsid w:val="002572B9"/>
    <w:rsid w:val="002572BD"/>
    <w:rsid w:val="00260299"/>
    <w:rsid w:val="002603D4"/>
    <w:rsid w:val="00260583"/>
    <w:rsid w:val="00260802"/>
    <w:rsid w:val="00260D06"/>
    <w:rsid w:val="00260E56"/>
    <w:rsid w:val="002610BE"/>
    <w:rsid w:val="002612D0"/>
    <w:rsid w:val="0026145E"/>
    <w:rsid w:val="002616CF"/>
    <w:rsid w:val="0026179E"/>
    <w:rsid w:val="002618CF"/>
    <w:rsid w:val="00261C22"/>
    <w:rsid w:val="00261F8B"/>
    <w:rsid w:val="002622D0"/>
    <w:rsid w:val="00262443"/>
    <w:rsid w:val="00262509"/>
    <w:rsid w:val="00262BFE"/>
    <w:rsid w:val="00262E1F"/>
    <w:rsid w:val="002633BE"/>
    <w:rsid w:val="002635FB"/>
    <w:rsid w:val="0026364E"/>
    <w:rsid w:val="00263814"/>
    <w:rsid w:val="002638A7"/>
    <w:rsid w:val="00263A5F"/>
    <w:rsid w:val="00263CD5"/>
    <w:rsid w:val="00263F74"/>
    <w:rsid w:val="00264043"/>
    <w:rsid w:val="00264073"/>
    <w:rsid w:val="002641E8"/>
    <w:rsid w:val="002644B0"/>
    <w:rsid w:val="00264573"/>
    <w:rsid w:val="002647B5"/>
    <w:rsid w:val="002654C0"/>
    <w:rsid w:val="002657EC"/>
    <w:rsid w:val="002657EF"/>
    <w:rsid w:val="002664A8"/>
    <w:rsid w:val="002664F9"/>
    <w:rsid w:val="002668C2"/>
    <w:rsid w:val="00266ED9"/>
    <w:rsid w:val="00266F44"/>
    <w:rsid w:val="00267145"/>
    <w:rsid w:val="002675A6"/>
    <w:rsid w:val="00267856"/>
    <w:rsid w:val="0027098C"/>
    <w:rsid w:val="002709F1"/>
    <w:rsid w:val="00270C8B"/>
    <w:rsid w:val="00270E7B"/>
    <w:rsid w:val="0027113A"/>
    <w:rsid w:val="00271599"/>
    <w:rsid w:val="00271CFC"/>
    <w:rsid w:val="00271E23"/>
    <w:rsid w:val="00272435"/>
    <w:rsid w:val="0027284E"/>
    <w:rsid w:val="00272864"/>
    <w:rsid w:val="00272ABC"/>
    <w:rsid w:val="00273186"/>
    <w:rsid w:val="0027330C"/>
    <w:rsid w:val="00273C00"/>
    <w:rsid w:val="00273C4A"/>
    <w:rsid w:val="00273F23"/>
    <w:rsid w:val="002740BA"/>
    <w:rsid w:val="00274187"/>
    <w:rsid w:val="0027428A"/>
    <w:rsid w:val="002745C0"/>
    <w:rsid w:val="002748E1"/>
    <w:rsid w:val="00274AD6"/>
    <w:rsid w:val="00274FB7"/>
    <w:rsid w:val="002752AE"/>
    <w:rsid w:val="00275F2B"/>
    <w:rsid w:val="00275FDE"/>
    <w:rsid w:val="00276422"/>
    <w:rsid w:val="002765D8"/>
    <w:rsid w:val="002767C0"/>
    <w:rsid w:val="00276CD4"/>
    <w:rsid w:val="00276CDA"/>
    <w:rsid w:val="00276D01"/>
    <w:rsid w:val="002770D7"/>
    <w:rsid w:val="00277114"/>
    <w:rsid w:val="00277383"/>
    <w:rsid w:val="00277389"/>
    <w:rsid w:val="002773F8"/>
    <w:rsid w:val="002777BA"/>
    <w:rsid w:val="002779FF"/>
    <w:rsid w:val="00277DFD"/>
    <w:rsid w:val="00277E9A"/>
    <w:rsid w:val="002801E4"/>
    <w:rsid w:val="00280250"/>
    <w:rsid w:val="00280818"/>
    <w:rsid w:val="0028083C"/>
    <w:rsid w:val="00280A24"/>
    <w:rsid w:val="00280C29"/>
    <w:rsid w:val="002811A8"/>
    <w:rsid w:val="002813DA"/>
    <w:rsid w:val="002814C1"/>
    <w:rsid w:val="00281AE7"/>
    <w:rsid w:val="00281E03"/>
    <w:rsid w:val="0028206C"/>
    <w:rsid w:val="0028279F"/>
    <w:rsid w:val="00282B2C"/>
    <w:rsid w:val="00282E27"/>
    <w:rsid w:val="00282E2B"/>
    <w:rsid w:val="00283533"/>
    <w:rsid w:val="00283BAD"/>
    <w:rsid w:val="00283BC6"/>
    <w:rsid w:val="00283E36"/>
    <w:rsid w:val="0028401B"/>
    <w:rsid w:val="002841A1"/>
    <w:rsid w:val="002842AC"/>
    <w:rsid w:val="002844F7"/>
    <w:rsid w:val="0028478A"/>
    <w:rsid w:val="00284BA8"/>
    <w:rsid w:val="00284BB5"/>
    <w:rsid w:val="00284C4E"/>
    <w:rsid w:val="00284FE6"/>
    <w:rsid w:val="0028508A"/>
    <w:rsid w:val="0028508B"/>
    <w:rsid w:val="00285635"/>
    <w:rsid w:val="00285A7D"/>
    <w:rsid w:val="00286816"/>
    <w:rsid w:val="00286910"/>
    <w:rsid w:val="00286E02"/>
    <w:rsid w:val="00287241"/>
    <w:rsid w:val="002872A4"/>
    <w:rsid w:val="00287491"/>
    <w:rsid w:val="002877F1"/>
    <w:rsid w:val="0028789A"/>
    <w:rsid w:val="0028799E"/>
    <w:rsid w:val="00290145"/>
    <w:rsid w:val="0029044E"/>
    <w:rsid w:val="002906AA"/>
    <w:rsid w:val="002908AB"/>
    <w:rsid w:val="002912A9"/>
    <w:rsid w:val="00291BF8"/>
    <w:rsid w:val="00292737"/>
    <w:rsid w:val="00292797"/>
    <w:rsid w:val="00292A1D"/>
    <w:rsid w:val="00293643"/>
    <w:rsid w:val="00293647"/>
    <w:rsid w:val="00293C23"/>
    <w:rsid w:val="00293D40"/>
    <w:rsid w:val="00293E2C"/>
    <w:rsid w:val="002945DE"/>
    <w:rsid w:val="00294602"/>
    <w:rsid w:val="0029467D"/>
    <w:rsid w:val="0029468D"/>
    <w:rsid w:val="002946AC"/>
    <w:rsid w:val="00294BBF"/>
    <w:rsid w:val="00294CE8"/>
    <w:rsid w:val="0029500E"/>
    <w:rsid w:val="00295166"/>
    <w:rsid w:val="002954E9"/>
    <w:rsid w:val="002956B3"/>
    <w:rsid w:val="00295809"/>
    <w:rsid w:val="00295B70"/>
    <w:rsid w:val="00296003"/>
    <w:rsid w:val="002960B4"/>
    <w:rsid w:val="00296497"/>
    <w:rsid w:val="0029674B"/>
    <w:rsid w:val="00296C6F"/>
    <w:rsid w:val="00296D6B"/>
    <w:rsid w:val="00296F7A"/>
    <w:rsid w:val="00297190"/>
    <w:rsid w:val="00297969"/>
    <w:rsid w:val="00297B5C"/>
    <w:rsid w:val="00297F36"/>
    <w:rsid w:val="002A03DB"/>
    <w:rsid w:val="002A040F"/>
    <w:rsid w:val="002A05C3"/>
    <w:rsid w:val="002A065B"/>
    <w:rsid w:val="002A0900"/>
    <w:rsid w:val="002A118F"/>
    <w:rsid w:val="002A1376"/>
    <w:rsid w:val="002A1923"/>
    <w:rsid w:val="002A1AF9"/>
    <w:rsid w:val="002A2398"/>
    <w:rsid w:val="002A2552"/>
    <w:rsid w:val="002A2615"/>
    <w:rsid w:val="002A28A0"/>
    <w:rsid w:val="002A2F09"/>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AAA"/>
    <w:rsid w:val="002A6BEC"/>
    <w:rsid w:val="002A7441"/>
    <w:rsid w:val="002A77E6"/>
    <w:rsid w:val="002A79D3"/>
    <w:rsid w:val="002B0F37"/>
    <w:rsid w:val="002B0FE8"/>
    <w:rsid w:val="002B1456"/>
    <w:rsid w:val="002B19A4"/>
    <w:rsid w:val="002B1FDE"/>
    <w:rsid w:val="002B25F0"/>
    <w:rsid w:val="002B2ABA"/>
    <w:rsid w:val="002B2F61"/>
    <w:rsid w:val="002B3222"/>
    <w:rsid w:val="002B32E3"/>
    <w:rsid w:val="002B3466"/>
    <w:rsid w:val="002B3BC9"/>
    <w:rsid w:val="002B3CFB"/>
    <w:rsid w:val="002B41E7"/>
    <w:rsid w:val="002B43A2"/>
    <w:rsid w:val="002B4784"/>
    <w:rsid w:val="002B4D5D"/>
    <w:rsid w:val="002B4FAC"/>
    <w:rsid w:val="002B505C"/>
    <w:rsid w:val="002B51C9"/>
    <w:rsid w:val="002B5220"/>
    <w:rsid w:val="002B5ABD"/>
    <w:rsid w:val="002B5DE9"/>
    <w:rsid w:val="002B5EE3"/>
    <w:rsid w:val="002B62CB"/>
    <w:rsid w:val="002B6694"/>
    <w:rsid w:val="002B6846"/>
    <w:rsid w:val="002B6AD8"/>
    <w:rsid w:val="002B6DD2"/>
    <w:rsid w:val="002B6E4F"/>
    <w:rsid w:val="002B7312"/>
    <w:rsid w:val="002B7966"/>
    <w:rsid w:val="002B7E61"/>
    <w:rsid w:val="002C01A0"/>
    <w:rsid w:val="002C0F24"/>
    <w:rsid w:val="002C1326"/>
    <w:rsid w:val="002C133E"/>
    <w:rsid w:val="002C1804"/>
    <w:rsid w:val="002C1B3F"/>
    <w:rsid w:val="002C23EF"/>
    <w:rsid w:val="002C27BE"/>
    <w:rsid w:val="002C2DE0"/>
    <w:rsid w:val="002C3867"/>
    <w:rsid w:val="002C3A2E"/>
    <w:rsid w:val="002C3DE5"/>
    <w:rsid w:val="002C3F19"/>
    <w:rsid w:val="002C47C5"/>
    <w:rsid w:val="002C49B0"/>
    <w:rsid w:val="002C510E"/>
    <w:rsid w:val="002C52B9"/>
    <w:rsid w:val="002C5D13"/>
    <w:rsid w:val="002C5E24"/>
    <w:rsid w:val="002C6099"/>
    <w:rsid w:val="002C629B"/>
    <w:rsid w:val="002C6573"/>
    <w:rsid w:val="002C69AE"/>
    <w:rsid w:val="002C6BE0"/>
    <w:rsid w:val="002C7073"/>
    <w:rsid w:val="002C72D1"/>
    <w:rsid w:val="002C7636"/>
    <w:rsid w:val="002C7E1F"/>
    <w:rsid w:val="002C7FD7"/>
    <w:rsid w:val="002D0513"/>
    <w:rsid w:val="002D1057"/>
    <w:rsid w:val="002D16C4"/>
    <w:rsid w:val="002D17F8"/>
    <w:rsid w:val="002D19B3"/>
    <w:rsid w:val="002D2257"/>
    <w:rsid w:val="002D24D1"/>
    <w:rsid w:val="002D25F7"/>
    <w:rsid w:val="002D2714"/>
    <w:rsid w:val="002D29DF"/>
    <w:rsid w:val="002D33E4"/>
    <w:rsid w:val="002D345E"/>
    <w:rsid w:val="002D38E5"/>
    <w:rsid w:val="002D3DDA"/>
    <w:rsid w:val="002D421E"/>
    <w:rsid w:val="002D4975"/>
    <w:rsid w:val="002D49DD"/>
    <w:rsid w:val="002D4A31"/>
    <w:rsid w:val="002D4D67"/>
    <w:rsid w:val="002D4DF8"/>
    <w:rsid w:val="002D5146"/>
    <w:rsid w:val="002D5383"/>
    <w:rsid w:val="002D5860"/>
    <w:rsid w:val="002D5993"/>
    <w:rsid w:val="002D59BE"/>
    <w:rsid w:val="002D608A"/>
    <w:rsid w:val="002D620B"/>
    <w:rsid w:val="002D624A"/>
    <w:rsid w:val="002D72F3"/>
    <w:rsid w:val="002D7431"/>
    <w:rsid w:val="002D752D"/>
    <w:rsid w:val="002D78F3"/>
    <w:rsid w:val="002D7ADF"/>
    <w:rsid w:val="002E02BD"/>
    <w:rsid w:val="002E1C7E"/>
    <w:rsid w:val="002E1D0B"/>
    <w:rsid w:val="002E21E5"/>
    <w:rsid w:val="002E2536"/>
    <w:rsid w:val="002E2C88"/>
    <w:rsid w:val="002E337C"/>
    <w:rsid w:val="002E402B"/>
    <w:rsid w:val="002E48FD"/>
    <w:rsid w:val="002E4F8C"/>
    <w:rsid w:val="002E5E3E"/>
    <w:rsid w:val="002E617F"/>
    <w:rsid w:val="002E6666"/>
    <w:rsid w:val="002E6BA7"/>
    <w:rsid w:val="002E76B5"/>
    <w:rsid w:val="002E7733"/>
    <w:rsid w:val="002E7AFA"/>
    <w:rsid w:val="002E7F8F"/>
    <w:rsid w:val="002F01E0"/>
    <w:rsid w:val="002F07FC"/>
    <w:rsid w:val="002F1903"/>
    <w:rsid w:val="002F1AC5"/>
    <w:rsid w:val="002F1D35"/>
    <w:rsid w:val="002F241D"/>
    <w:rsid w:val="002F269E"/>
    <w:rsid w:val="002F276F"/>
    <w:rsid w:val="002F3084"/>
    <w:rsid w:val="002F3327"/>
    <w:rsid w:val="002F3600"/>
    <w:rsid w:val="002F3761"/>
    <w:rsid w:val="002F3C93"/>
    <w:rsid w:val="002F3F23"/>
    <w:rsid w:val="002F4203"/>
    <w:rsid w:val="002F4657"/>
    <w:rsid w:val="002F4685"/>
    <w:rsid w:val="002F46D2"/>
    <w:rsid w:val="002F4718"/>
    <w:rsid w:val="002F49B6"/>
    <w:rsid w:val="002F5065"/>
    <w:rsid w:val="002F5094"/>
    <w:rsid w:val="002F5464"/>
    <w:rsid w:val="002F5827"/>
    <w:rsid w:val="002F5D75"/>
    <w:rsid w:val="002F6148"/>
    <w:rsid w:val="002F7027"/>
    <w:rsid w:val="002F7A47"/>
    <w:rsid w:val="002F7BF3"/>
    <w:rsid w:val="002F7D93"/>
    <w:rsid w:val="0030009F"/>
    <w:rsid w:val="0030092A"/>
    <w:rsid w:val="00301044"/>
    <w:rsid w:val="003011A0"/>
    <w:rsid w:val="00301539"/>
    <w:rsid w:val="00301FDD"/>
    <w:rsid w:val="003020BD"/>
    <w:rsid w:val="00302277"/>
    <w:rsid w:val="00302288"/>
    <w:rsid w:val="003024B7"/>
    <w:rsid w:val="00302730"/>
    <w:rsid w:val="003027DB"/>
    <w:rsid w:val="003031FA"/>
    <w:rsid w:val="003034D7"/>
    <w:rsid w:val="0030398D"/>
    <w:rsid w:val="003039EF"/>
    <w:rsid w:val="00303C1B"/>
    <w:rsid w:val="00303C7B"/>
    <w:rsid w:val="00304259"/>
    <w:rsid w:val="00304D95"/>
    <w:rsid w:val="003055CB"/>
    <w:rsid w:val="00305738"/>
    <w:rsid w:val="003057A8"/>
    <w:rsid w:val="00305A10"/>
    <w:rsid w:val="00305C59"/>
    <w:rsid w:val="00306048"/>
    <w:rsid w:val="003065F7"/>
    <w:rsid w:val="0030661A"/>
    <w:rsid w:val="00306C5C"/>
    <w:rsid w:val="00306E2C"/>
    <w:rsid w:val="00307273"/>
    <w:rsid w:val="0030784D"/>
    <w:rsid w:val="0030798F"/>
    <w:rsid w:val="00307B5A"/>
    <w:rsid w:val="003107C2"/>
    <w:rsid w:val="00310A6A"/>
    <w:rsid w:val="00311DC4"/>
    <w:rsid w:val="00311FFB"/>
    <w:rsid w:val="003122C4"/>
    <w:rsid w:val="00313B34"/>
    <w:rsid w:val="003141F1"/>
    <w:rsid w:val="00314B45"/>
    <w:rsid w:val="00315ADA"/>
    <w:rsid w:val="00315C4E"/>
    <w:rsid w:val="003160C0"/>
    <w:rsid w:val="003164E5"/>
    <w:rsid w:val="00317025"/>
    <w:rsid w:val="0031715A"/>
    <w:rsid w:val="0031730F"/>
    <w:rsid w:val="003174B4"/>
    <w:rsid w:val="0031784F"/>
    <w:rsid w:val="00317881"/>
    <w:rsid w:val="003179FD"/>
    <w:rsid w:val="00317C55"/>
    <w:rsid w:val="00317FEC"/>
    <w:rsid w:val="00320044"/>
    <w:rsid w:val="0032007D"/>
    <w:rsid w:val="00320666"/>
    <w:rsid w:val="003209B7"/>
    <w:rsid w:val="00320DF2"/>
    <w:rsid w:val="00320E63"/>
    <w:rsid w:val="00321457"/>
    <w:rsid w:val="0032183A"/>
    <w:rsid w:val="00321F68"/>
    <w:rsid w:val="003220CE"/>
    <w:rsid w:val="00322406"/>
    <w:rsid w:val="0032260E"/>
    <w:rsid w:val="00322B55"/>
    <w:rsid w:val="00322BBB"/>
    <w:rsid w:val="003230A8"/>
    <w:rsid w:val="0032319A"/>
    <w:rsid w:val="00323437"/>
    <w:rsid w:val="003234CA"/>
    <w:rsid w:val="00323613"/>
    <w:rsid w:val="00324873"/>
    <w:rsid w:val="00324E58"/>
    <w:rsid w:val="003250AD"/>
    <w:rsid w:val="003252B7"/>
    <w:rsid w:val="003255CA"/>
    <w:rsid w:val="00326350"/>
    <w:rsid w:val="00326589"/>
    <w:rsid w:val="00326756"/>
    <w:rsid w:val="00327284"/>
    <w:rsid w:val="0032735B"/>
    <w:rsid w:val="003278EC"/>
    <w:rsid w:val="00327B19"/>
    <w:rsid w:val="00327BDD"/>
    <w:rsid w:val="00327D3D"/>
    <w:rsid w:val="00327DB8"/>
    <w:rsid w:val="00330474"/>
    <w:rsid w:val="003305E0"/>
    <w:rsid w:val="0033072B"/>
    <w:rsid w:val="00330863"/>
    <w:rsid w:val="00331487"/>
    <w:rsid w:val="003315F6"/>
    <w:rsid w:val="00331655"/>
    <w:rsid w:val="003316A1"/>
    <w:rsid w:val="00331AD5"/>
    <w:rsid w:val="00331BEE"/>
    <w:rsid w:val="0033211B"/>
    <w:rsid w:val="0033222E"/>
    <w:rsid w:val="0033295F"/>
    <w:rsid w:val="00333636"/>
    <w:rsid w:val="003336F0"/>
    <w:rsid w:val="003336FB"/>
    <w:rsid w:val="0033391A"/>
    <w:rsid w:val="00333AB1"/>
    <w:rsid w:val="0033444C"/>
    <w:rsid w:val="0033479E"/>
    <w:rsid w:val="0033504C"/>
    <w:rsid w:val="00335154"/>
    <w:rsid w:val="0033584C"/>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20"/>
    <w:rsid w:val="00340E23"/>
    <w:rsid w:val="00340F6A"/>
    <w:rsid w:val="00341005"/>
    <w:rsid w:val="0034145C"/>
    <w:rsid w:val="003416D9"/>
    <w:rsid w:val="0034178C"/>
    <w:rsid w:val="00341D7C"/>
    <w:rsid w:val="003421CC"/>
    <w:rsid w:val="003421ED"/>
    <w:rsid w:val="0034324F"/>
    <w:rsid w:val="0034342B"/>
    <w:rsid w:val="003436D8"/>
    <w:rsid w:val="00343A13"/>
    <w:rsid w:val="00343CCA"/>
    <w:rsid w:val="0034481F"/>
    <w:rsid w:val="00344F5D"/>
    <w:rsid w:val="0034511E"/>
    <w:rsid w:val="0034575E"/>
    <w:rsid w:val="00345CB1"/>
    <w:rsid w:val="00345EE2"/>
    <w:rsid w:val="00345FF5"/>
    <w:rsid w:val="00346970"/>
    <w:rsid w:val="00346D8A"/>
    <w:rsid w:val="00346F20"/>
    <w:rsid w:val="003470C2"/>
    <w:rsid w:val="00347790"/>
    <w:rsid w:val="00347954"/>
    <w:rsid w:val="00347998"/>
    <w:rsid w:val="00347F8D"/>
    <w:rsid w:val="00347FAB"/>
    <w:rsid w:val="0035027B"/>
    <w:rsid w:val="00350554"/>
    <w:rsid w:val="0035056B"/>
    <w:rsid w:val="003512CF"/>
    <w:rsid w:val="00351AC2"/>
    <w:rsid w:val="0035223A"/>
    <w:rsid w:val="00352526"/>
    <w:rsid w:val="00352558"/>
    <w:rsid w:val="0035273E"/>
    <w:rsid w:val="00352C21"/>
    <w:rsid w:val="003531C7"/>
    <w:rsid w:val="00353CB0"/>
    <w:rsid w:val="00353F26"/>
    <w:rsid w:val="0035406A"/>
    <w:rsid w:val="00354607"/>
    <w:rsid w:val="0035489D"/>
    <w:rsid w:val="00354950"/>
    <w:rsid w:val="00354F0E"/>
    <w:rsid w:val="00355628"/>
    <w:rsid w:val="00355954"/>
    <w:rsid w:val="00355B1D"/>
    <w:rsid w:val="00355D08"/>
    <w:rsid w:val="00356039"/>
    <w:rsid w:val="003564F2"/>
    <w:rsid w:val="00356510"/>
    <w:rsid w:val="003567A2"/>
    <w:rsid w:val="00356BB7"/>
    <w:rsid w:val="003571CD"/>
    <w:rsid w:val="0035783F"/>
    <w:rsid w:val="0035786D"/>
    <w:rsid w:val="00357938"/>
    <w:rsid w:val="00357C53"/>
    <w:rsid w:val="00357F46"/>
    <w:rsid w:val="00361028"/>
    <w:rsid w:val="0036165F"/>
    <w:rsid w:val="00361728"/>
    <w:rsid w:val="0036189E"/>
    <w:rsid w:val="00361C44"/>
    <w:rsid w:val="00361D6B"/>
    <w:rsid w:val="00362248"/>
    <w:rsid w:val="003622A7"/>
    <w:rsid w:val="0036237E"/>
    <w:rsid w:val="00362677"/>
    <w:rsid w:val="00362855"/>
    <w:rsid w:val="00362BB3"/>
    <w:rsid w:val="003639EA"/>
    <w:rsid w:val="00363B0B"/>
    <w:rsid w:val="00363D15"/>
    <w:rsid w:val="00363D28"/>
    <w:rsid w:val="00363DBD"/>
    <w:rsid w:val="003640F7"/>
    <w:rsid w:val="00364761"/>
    <w:rsid w:val="00364990"/>
    <w:rsid w:val="003650FF"/>
    <w:rsid w:val="0036517D"/>
    <w:rsid w:val="00365385"/>
    <w:rsid w:val="003658D8"/>
    <w:rsid w:val="00365FC2"/>
    <w:rsid w:val="003669F4"/>
    <w:rsid w:val="003670B6"/>
    <w:rsid w:val="003673A0"/>
    <w:rsid w:val="00367508"/>
    <w:rsid w:val="00367531"/>
    <w:rsid w:val="00367AD4"/>
    <w:rsid w:val="003707A4"/>
    <w:rsid w:val="0037132E"/>
    <w:rsid w:val="003714D3"/>
    <w:rsid w:val="00371B0D"/>
    <w:rsid w:val="00371B8F"/>
    <w:rsid w:val="003721DB"/>
    <w:rsid w:val="0037228D"/>
    <w:rsid w:val="003723DF"/>
    <w:rsid w:val="0037247E"/>
    <w:rsid w:val="00372CE6"/>
    <w:rsid w:val="00372F33"/>
    <w:rsid w:val="00372FF7"/>
    <w:rsid w:val="00373232"/>
    <w:rsid w:val="00373767"/>
    <w:rsid w:val="00373F6F"/>
    <w:rsid w:val="00374009"/>
    <w:rsid w:val="00374126"/>
    <w:rsid w:val="00374447"/>
    <w:rsid w:val="00374482"/>
    <w:rsid w:val="003747AD"/>
    <w:rsid w:val="00374CBE"/>
    <w:rsid w:val="003750DD"/>
    <w:rsid w:val="003758BF"/>
    <w:rsid w:val="003758CA"/>
    <w:rsid w:val="00376100"/>
    <w:rsid w:val="00376DE1"/>
    <w:rsid w:val="003770A9"/>
    <w:rsid w:val="00377357"/>
    <w:rsid w:val="0037737A"/>
    <w:rsid w:val="003777AE"/>
    <w:rsid w:val="00377CF4"/>
    <w:rsid w:val="003801B9"/>
    <w:rsid w:val="003806E9"/>
    <w:rsid w:val="00380786"/>
    <w:rsid w:val="00380B7C"/>
    <w:rsid w:val="00380C14"/>
    <w:rsid w:val="00380F6A"/>
    <w:rsid w:val="003810DA"/>
    <w:rsid w:val="003811C1"/>
    <w:rsid w:val="00381757"/>
    <w:rsid w:val="00381B6B"/>
    <w:rsid w:val="00381C03"/>
    <w:rsid w:val="00381CA6"/>
    <w:rsid w:val="00381F20"/>
    <w:rsid w:val="00382D11"/>
    <w:rsid w:val="003831E3"/>
    <w:rsid w:val="00383AAE"/>
    <w:rsid w:val="00383E4E"/>
    <w:rsid w:val="003840D3"/>
    <w:rsid w:val="0038417E"/>
    <w:rsid w:val="003847E4"/>
    <w:rsid w:val="003850F4"/>
    <w:rsid w:val="00385BFD"/>
    <w:rsid w:val="00385F64"/>
    <w:rsid w:val="0038611F"/>
    <w:rsid w:val="003862B5"/>
    <w:rsid w:val="00386971"/>
    <w:rsid w:val="00386D14"/>
    <w:rsid w:val="00386F0C"/>
    <w:rsid w:val="00386F9A"/>
    <w:rsid w:val="00387287"/>
    <w:rsid w:val="00387376"/>
    <w:rsid w:val="00387486"/>
    <w:rsid w:val="003875E8"/>
    <w:rsid w:val="00387C24"/>
    <w:rsid w:val="00387E71"/>
    <w:rsid w:val="00391701"/>
    <w:rsid w:val="00391F78"/>
    <w:rsid w:val="00392117"/>
    <w:rsid w:val="00392188"/>
    <w:rsid w:val="003921F3"/>
    <w:rsid w:val="00392560"/>
    <w:rsid w:val="00392E99"/>
    <w:rsid w:val="00392F44"/>
    <w:rsid w:val="00393241"/>
    <w:rsid w:val="00393350"/>
    <w:rsid w:val="003942EE"/>
    <w:rsid w:val="00394C21"/>
    <w:rsid w:val="0039516A"/>
    <w:rsid w:val="0039547D"/>
    <w:rsid w:val="003954AC"/>
    <w:rsid w:val="00395728"/>
    <w:rsid w:val="0039626C"/>
    <w:rsid w:val="003963B5"/>
    <w:rsid w:val="00396601"/>
    <w:rsid w:val="00396EB2"/>
    <w:rsid w:val="003970BC"/>
    <w:rsid w:val="0039776B"/>
    <w:rsid w:val="003977F6"/>
    <w:rsid w:val="0039788B"/>
    <w:rsid w:val="00397AAF"/>
    <w:rsid w:val="00397DE6"/>
    <w:rsid w:val="003A01F2"/>
    <w:rsid w:val="003A03A5"/>
    <w:rsid w:val="003A03B7"/>
    <w:rsid w:val="003A08D6"/>
    <w:rsid w:val="003A0FAF"/>
    <w:rsid w:val="003A102F"/>
    <w:rsid w:val="003A11EA"/>
    <w:rsid w:val="003A171F"/>
    <w:rsid w:val="003A1BE9"/>
    <w:rsid w:val="003A1C9A"/>
    <w:rsid w:val="003A2789"/>
    <w:rsid w:val="003A3228"/>
    <w:rsid w:val="003A33A2"/>
    <w:rsid w:val="003A3403"/>
    <w:rsid w:val="003A3DF2"/>
    <w:rsid w:val="003A4074"/>
    <w:rsid w:val="003A466E"/>
    <w:rsid w:val="003A46A8"/>
    <w:rsid w:val="003A4C2D"/>
    <w:rsid w:val="003A5219"/>
    <w:rsid w:val="003A5299"/>
    <w:rsid w:val="003A5372"/>
    <w:rsid w:val="003A54A5"/>
    <w:rsid w:val="003A592A"/>
    <w:rsid w:val="003A5B9D"/>
    <w:rsid w:val="003A63B7"/>
    <w:rsid w:val="003A68B4"/>
    <w:rsid w:val="003A6FFD"/>
    <w:rsid w:val="003A70F8"/>
    <w:rsid w:val="003A77C8"/>
    <w:rsid w:val="003A78B4"/>
    <w:rsid w:val="003A7F91"/>
    <w:rsid w:val="003B0440"/>
    <w:rsid w:val="003B0971"/>
    <w:rsid w:val="003B0B3E"/>
    <w:rsid w:val="003B0BB4"/>
    <w:rsid w:val="003B0E68"/>
    <w:rsid w:val="003B11C3"/>
    <w:rsid w:val="003B17C5"/>
    <w:rsid w:val="003B1B69"/>
    <w:rsid w:val="003B215C"/>
    <w:rsid w:val="003B21CA"/>
    <w:rsid w:val="003B2233"/>
    <w:rsid w:val="003B29A9"/>
    <w:rsid w:val="003B2A79"/>
    <w:rsid w:val="003B2CAE"/>
    <w:rsid w:val="003B319D"/>
    <w:rsid w:val="003B32FC"/>
    <w:rsid w:val="003B4345"/>
    <w:rsid w:val="003B45DC"/>
    <w:rsid w:val="003B45E9"/>
    <w:rsid w:val="003B4DEC"/>
    <w:rsid w:val="003B54FD"/>
    <w:rsid w:val="003B573E"/>
    <w:rsid w:val="003B5C2D"/>
    <w:rsid w:val="003B6053"/>
    <w:rsid w:val="003B6162"/>
    <w:rsid w:val="003B6502"/>
    <w:rsid w:val="003B6528"/>
    <w:rsid w:val="003B6735"/>
    <w:rsid w:val="003B68DF"/>
    <w:rsid w:val="003B6FCE"/>
    <w:rsid w:val="003B7573"/>
    <w:rsid w:val="003B7A89"/>
    <w:rsid w:val="003C0371"/>
    <w:rsid w:val="003C0446"/>
    <w:rsid w:val="003C0568"/>
    <w:rsid w:val="003C0B66"/>
    <w:rsid w:val="003C0C73"/>
    <w:rsid w:val="003C0EA7"/>
    <w:rsid w:val="003C1611"/>
    <w:rsid w:val="003C1C76"/>
    <w:rsid w:val="003C1F2C"/>
    <w:rsid w:val="003C290D"/>
    <w:rsid w:val="003C2BF3"/>
    <w:rsid w:val="003C2D66"/>
    <w:rsid w:val="003C2F90"/>
    <w:rsid w:val="003C3B22"/>
    <w:rsid w:val="003C3E2F"/>
    <w:rsid w:val="003C4791"/>
    <w:rsid w:val="003C4B11"/>
    <w:rsid w:val="003C4FE3"/>
    <w:rsid w:val="003C500C"/>
    <w:rsid w:val="003C5620"/>
    <w:rsid w:val="003C586A"/>
    <w:rsid w:val="003C5AB9"/>
    <w:rsid w:val="003C5F35"/>
    <w:rsid w:val="003C6499"/>
    <w:rsid w:val="003C64D3"/>
    <w:rsid w:val="003C681C"/>
    <w:rsid w:val="003C702B"/>
    <w:rsid w:val="003C7C1A"/>
    <w:rsid w:val="003C7D14"/>
    <w:rsid w:val="003D00A1"/>
    <w:rsid w:val="003D0F97"/>
    <w:rsid w:val="003D227B"/>
    <w:rsid w:val="003D2C23"/>
    <w:rsid w:val="003D2D7E"/>
    <w:rsid w:val="003D3E2D"/>
    <w:rsid w:val="003D445B"/>
    <w:rsid w:val="003D461A"/>
    <w:rsid w:val="003D4868"/>
    <w:rsid w:val="003D4903"/>
    <w:rsid w:val="003D4A6D"/>
    <w:rsid w:val="003D53D6"/>
    <w:rsid w:val="003D5B3A"/>
    <w:rsid w:val="003D5B9E"/>
    <w:rsid w:val="003D5BAA"/>
    <w:rsid w:val="003D6AD1"/>
    <w:rsid w:val="003D6C8A"/>
    <w:rsid w:val="003D6E31"/>
    <w:rsid w:val="003D6FE3"/>
    <w:rsid w:val="003D7521"/>
    <w:rsid w:val="003D77D8"/>
    <w:rsid w:val="003D7DA2"/>
    <w:rsid w:val="003E02F3"/>
    <w:rsid w:val="003E0327"/>
    <w:rsid w:val="003E03CE"/>
    <w:rsid w:val="003E0CDB"/>
    <w:rsid w:val="003E15B4"/>
    <w:rsid w:val="003E1707"/>
    <w:rsid w:val="003E1C96"/>
    <w:rsid w:val="003E1CBA"/>
    <w:rsid w:val="003E1F71"/>
    <w:rsid w:val="003E2279"/>
    <w:rsid w:val="003E266B"/>
    <w:rsid w:val="003E29DE"/>
    <w:rsid w:val="003E2B56"/>
    <w:rsid w:val="003E3ABA"/>
    <w:rsid w:val="003E455D"/>
    <w:rsid w:val="003E4B9D"/>
    <w:rsid w:val="003E5768"/>
    <w:rsid w:val="003E5B2E"/>
    <w:rsid w:val="003E5C8B"/>
    <w:rsid w:val="003E6089"/>
    <w:rsid w:val="003E6438"/>
    <w:rsid w:val="003E6852"/>
    <w:rsid w:val="003E7392"/>
    <w:rsid w:val="003E73EB"/>
    <w:rsid w:val="003E74DF"/>
    <w:rsid w:val="003E785A"/>
    <w:rsid w:val="003E7860"/>
    <w:rsid w:val="003E7D66"/>
    <w:rsid w:val="003E7D93"/>
    <w:rsid w:val="003E7E3D"/>
    <w:rsid w:val="003F0771"/>
    <w:rsid w:val="003F0F21"/>
    <w:rsid w:val="003F1173"/>
    <w:rsid w:val="003F123E"/>
    <w:rsid w:val="003F13B3"/>
    <w:rsid w:val="003F22CA"/>
    <w:rsid w:val="003F2425"/>
    <w:rsid w:val="003F2900"/>
    <w:rsid w:val="003F2D3D"/>
    <w:rsid w:val="003F2F54"/>
    <w:rsid w:val="003F3304"/>
    <w:rsid w:val="003F3430"/>
    <w:rsid w:val="003F354C"/>
    <w:rsid w:val="003F3926"/>
    <w:rsid w:val="003F3AE0"/>
    <w:rsid w:val="003F3BC5"/>
    <w:rsid w:val="003F492C"/>
    <w:rsid w:val="003F5615"/>
    <w:rsid w:val="003F56A9"/>
    <w:rsid w:val="003F59CB"/>
    <w:rsid w:val="003F5E32"/>
    <w:rsid w:val="003F6490"/>
    <w:rsid w:val="003F6F69"/>
    <w:rsid w:val="003F7121"/>
    <w:rsid w:val="003F7169"/>
    <w:rsid w:val="003F77BC"/>
    <w:rsid w:val="003F786D"/>
    <w:rsid w:val="003F7A29"/>
    <w:rsid w:val="00400132"/>
    <w:rsid w:val="0040014B"/>
    <w:rsid w:val="00400171"/>
    <w:rsid w:val="00400802"/>
    <w:rsid w:val="00400E97"/>
    <w:rsid w:val="00400EC8"/>
    <w:rsid w:val="0040122B"/>
    <w:rsid w:val="004017D6"/>
    <w:rsid w:val="00401F01"/>
    <w:rsid w:val="004021D6"/>
    <w:rsid w:val="004024C9"/>
    <w:rsid w:val="0040253E"/>
    <w:rsid w:val="00402743"/>
    <w:rsid w:val="00403289"/>
    <w:rsid w:val="004033AC"/>
    <w:rsid w:val="00403ABC"/>
    <w:rsid w:val="00403EA8"/>
    <w:rsid w:val="00404ABD"/>
    <w:rsid w:val="00404D1F"/>
    <w:rsid w:val="00405E60"/>
    <w:rsid w:val="00406452"/>
    <w:rsid w:val="00406578"/>
    <w:rsid w:val="00406CA5"/>
    <w:rsid w:val="00407483"/>
    <w:rsid w:val="00407586"/>
    <w:rsid w:val="0040793A"/>
    <w:rsid w:val="00407C7F"/>
    <w:rsid w:val="00407CE5"/>
    <w:rsid w:val="00410429"/>
    <w:rsid w:val="00410E7B"/>
    <w:rsid w:val="0041108A"/>
    <w:rsid w:val="004113D4"/>
    <w:rsid w:val="00411D2C"/>
    <w:rsid w:val="00411F4F"/>
    <w:rsid w:val="00412A28"/>
    <w:rsid w:val="0041323A"/>
    <w:rsid w:val="00414949"/>
    <w:rsid w:val="00414B3B"/>
    <w:rsid w:val="00414EBD"/>
    <w:rsid w:val="004156F1"/>
    <w:rsid w:val="00415C0B"/>
    <w:rsid w:val="004160EC"/>
    <w:rsid w:val="004162B1"/>
    <w:rsid w:val="00416AEF"/>
    <w:rsid w:val="00416B45"/>
    <w:rsid w:val="00416D14"/>
    <w:rsid w:val="0041701A"/>
    <w:rsid w:val="004178BF"/>
    <w:rsid w:val="00417B1D"/>
    <w:rsid w:val="00417C3C"/>
    <w:rsid w:val="00417D9F"/>
    <w:rsid w:val="00417DC2"/>
    <w:rsid w:val="004205E1"/>
    <w:rsid w:val="004209B7"/>
    <w:rsid w:val="00420DAB"/>
    <w:rsid w:val="0042197D"/>
    <w:rsid w:val="00421D1B"/>
    <w:rsid w:val="00421E4E"/>
    <w:rsid w:val="00421FD8"/>
    <w:rsid w:val="00422057"/>
    <w:rsid w:val="0042237F"/>
    <w:rsid w:val="00422D9E"/>
    <w:rsid w:val="00423735"/>
    <w:rsid w:val="004238ED"/>
    <w:rsid w:val="00423EAD"/>
    <w:rsid w:val="00423F5D"/>
    <w:rsid w:val="00423FC1"/>
    <w:rsid w:val="00424365"/>
    <w:rsid w:val="00424483"/>
    <w:rsid w:val="004248E2"/>
    <w:rsid w:val="00424D09"/>
    <w:rsid w:val="00424E8C"/>
    <w:rsid w:val="00425190"/>
    <w:rsid w:val="00425346"/>
    <w:rsid w:val="0042562F"/>
    <w:rsid w:val="00425819"/>
    <w:rsid w:val="00425909"/>
    <w:rsid w:val="00426644"/>
    <w:rsid w:val="004268C3"/>
    <w:rsid w:val="00426A97"/>
    <w:rsid w:val="00426F66"/>
    <w:rsid w:val="004304F5"/>
    <w:rsid w:val="004305E4"/>
    <w:rsid w:val="00430D70"/>
    <w:rsid w:val="0043121A"/>
    <w:rsid w:val="004316DE"/>
    <w:rsid w:val="00431D59"/>
    <w:rsid w:val="004321DE"/>
    <w:rsid w:val="00432AB6"/>
    <w:rsid w:val="00432FC3"/>
    <w:rsid w:val="00433FE7"/>
    <w:rsid w:val="0043446D"/>
    <w:rsid w:val="00434C02"/>
    <w:rsid w:val="0043514A"/>
    <w:rsid w:val="004358DB"/>
    <w:rsid w:val="00435F65"/>
    <w:rsid w:val="0043623C"/>
    <w:rsid w:val="0043644E"/>
    <w:rsid w:val="0043725B"/>
    <w:rsid w:val="00437834"/>
    <w:rsid w:val="004378B8"/>
    <w:rsid w:val="00437AC4"/>
    <w:rsid w:val="00437C2C"/>
    <w:rsid w:val="00440015"/>
    <w:rsid w:val="004405FA"/>
    <w:rsid w:val="0044077A"/>
    <w:rsid w:val="0044123F"/>
    <w:rsid w:val="004414EB"/>
    <w:rsid w:val="00441749"/>
    <w:rsid w:val="00441802"/>
    <w:rsid w:val="00441F64"/>
    <w:rsid w:val="00441FB8"/>
    <w:rsid w:val="004421E1"/>
    <w:rsid w:val="00442E1A"/>
    <w:rsid w:val="00442E8C"/>
    <w:rsid w:val="00443AAA"/>
    <w:rsid w:val="00443BAA"/>
    <w:rsid w:val="004440C2"/>
    <w:rsid w:val="00444597"/>
    <w:rsid w:val="00445633"/>
    <w:rsid w:val="00445C35"/>
    <w:rsid w:val="00445DBA"/>
    <w:rsid w:val="0044609E"/>
    <w:rsid w:val="004460A6"/>
    <w:rsid w:val="00446D08"/>
    <w:rsid w:val="00446D7A"/>
    <w:rsid w:val="00446ED6"/>
    <w:rsid w:val="00446F71"/>
    <w:rsid w:val="00446FB0"/>
    <w:rsid w:val="004470DE"/>
    <w:rsid w:val="0044712D"/>
    <w:rsid w:val="004501B9"/>
    <w:rsid w:val="00450470"/>
    <w:rsid w:val="00450604"/>
    <w:rsid w:val="00450A7C"/>
    <w:rsid w:val="004511AE"/>
    <w:rsid w:val="00451696"/>
    <w:rsid w:val="0045185A"/>
    <w:rsid w:val="00452144"/>
    <w:rsid w:val="00452195"/>
    <w:rsid w:val="004524E3"/>
    <w:rsid w:val="004529DF"/>
    <w:rsid w:val="00453452"/>
    <w:rsid w:val="0045348C"/>
    <w:rsid w:val="00453965"/>
    <w:rsid w:val="00453994"/>
    <w:rsid w:val="00453D4C"/>
    <w:rsid w:val="004541AC"/>
    <w:rsid w:val="0045435C"/>
    <w:rsid w:val="004546F5"/>
    <w:rsid w:val="004547F9"/>
    <w:rsid w:val="00454932"/>
    <w:rsid w:val="00454A59"/>
    <w:rsid w:val="00454D3E"/>
    <w:rsid w:val="00455106"/>
    <w:rsid w:val="0045515F"/>
    <w:rsid w:val="0045549B"/>
    <w:rsid w:val="00456028"/>
    <w:rsid w:val="0045724E"/>
    <w:rsid w:val="0045750B"/>
    <w:rsid w:val="004602F7"/>
    <w:rsid w:val="00460DB4"/>
    <w:rsid w:val="004617EE"/>
    <w:rsid w:val="00461D61"/>
    <w:rsid w:val="004620D0"/>
    <w:rsid w:val="00462A23"/>
    <w:rsid w:val="00462AA0"/>
    <w:rsid w:val="00463248"/>
    <w:rsid w:val="00463496"/>
    <w:rsid w:val="004634A9"/>
    <w:rsid w:val="00463AF7"/>
    <w:rsid w:val="00463DDF"/>
    <w:rsid w:val="004642CB"/>
    <w:rsid w:val="004643D6"/>
    <w:rsid w:val="00464D42"/>
    <w:rsid w:val="00464FA5"/>
    <w:rsid w:val="0046500E"/>
    <w:rsid w:val="0046544E"/>
    <w:rsid w:val="0046565B"/>
    <w:rsid w:val="0046577E"/>
    <w:rsid w:val="00465A54"/>
    <w:rsid w:val="00465D17"/>
    <w:rsid w:val="00465F2D"/>
    <w:rsid w:val="0046616B"/>
    <w:rsid w:val="00466184"/>
    <w:rsid w:val="00466632"/>
    <w:rsid w:val="004669B2"/>
    <w:rsid w:val="0046717A"/>
    <w:rsid w:val="004673D9"/>
    <w:rsid w:val="00467BF4"/>
    <w:rsid w:val="00467F61"/>
    <w:rsid w:val="0047010E"/>
    <w:rsid w:val="00470442"/>
    <w:rsid w:val="004706CE"/>
    <w:rsid w:val="00470E9A"/>
    <w:rsid w:val="00470F53"/>
    <w:rsid w:val="0047136E"/>
    <w:rsid w:val="00471A18"/>
    <w:rsid w:val="00471C19"/>
    <w:rsid w:val="004723D1"/>
    <w:rsid w:val="0047242D"/>
    <w:rsid w:val="00472782"/>
    <w:rsid w:val="0047285B"/>
    <w:rsid w:val="00472ACC"/>
    <w:rsid w:val="00472F5D"/>
    <w:rsid w:val="004731BC"/>
    <w:rsid w:val="00473473"/>
    <w:rsid w:val="00474A34"/>
    <w:rsid w:val="0047541A"/>
    <w:rsid w:val="004755AA"/>
    <w:rsid w:val="00475907"/>
    <w:rsid w:val="0047620B"/>
    <w:rsid w:val="0047630A"/>
    <w:rsid w:val="004763E0"/>
    <w:rsid w:val="004765A7"/>
    <w:rsid w:val="00477E70"/>
    <w:rsid w:val="00480204"/>
    <w:rsid w:val="0048077F"/>
    <w:rsid w:val="00480B1E"/>
    <w:rsid w:val="00481FE1"/>
    <w:rsid w:val="00482271"/>
    <w:rsid w:val="00482B02"/>
    <w:rsid w:val="00483987"/>
    <w:rsid w:val="00483A63"/>
    <w:rsid w:val="00483FA3"/>
    <w:rsid w:val="00483FCB"/>
    <w:rsid w:val="004843F3"/>
    <w:rsid w:val="0048470E"/>
    <w:rsid w:val="00484A54"/>
    <w:rsid w:val="00484B9D"/>
    <w:rsid w:val="00484BC6"/>
    <w:rsid w:val="0048528B"/>
    <w:rsid w:val="00485366"/>
    <w:rsid w:val="0048540A"/>
    <w:rsid w:val="004855BD"/>
    <w:rsid w:val="0048587C"/>
    <w:rsid w:val="004859B2"/>
    <w:rsid w:val="00485D9F"/>
    <w:rsid w:val="00485E6A"/>
    <w:rsid w:val="0048713A"/>
    <w:rsid w:val="00490742"/>
    <w:rsid w:val="004914CA"/>
    <w:rsid w:val="00491C6B"/>
    <w:rsid w:val="00491C9F"/>
    <w:rsid w:val="00492198"/>
    <w:rsid w:val="004923E4"/>
    <w:rsid w:val="004926C6"/>
    <w:rsid w:val="00492CB5"/>
    <w:rsid w:val="00492E2D"/>
    <w:rsid w:val="00492E71"/>
    <w:rsid w:val="00493092"/>
    <w:rsid w:val="004932C0"/>
    <w:rsid w:val="004937E8"/>
    <w:rsid w:val="00493C90"/>
    <w:rsid w:val="00493F18"/>
    <w:rsid w:val="0049415E"/>
    <w:rsid w:val="004946C8"/>
    <w:rsid w:val="00494749"/>
    <w:rsid w:val="004949DA"/>
    <w:rsid w:val="00494C24"/>
    <w:rsid w:val="00495218"/>
    <w:rsid w:val="00495600"/>
    <w:rsid w:val="00495BB7"/>
    <w:rsid w:val="00495CF0"/>
    <w:rsid w:val="00495EDC"/>
    <w:rsid w:val="004962CF"/>
    <w:rsid w:val="00496BD2"/>
    <w:rsid w:val="00496EDD"/>
    <w:rsid w:val="00497686"/>
    <w:rsid w:val="00497EA6"/>
    <w:rsid w:val="00497FBF"/>
    <w:rsid w:val="004A03A0"/>
    <w:rsid w:val="004A046B"/>
    <w:rsid w:val="004A0527"/>
    <w:rsid w:val="004A1146"/>
    <w:rsid w:val="004A1157"/>
    <w:rsid w:val="004A1475"/>
    <w:rsid w:val="004A1C83"/>
    <w:rsid w:val="004A281B"/>
    <w:rsid w:val="004A311B"/>
    <w:rsid w:val="004A3369"/>
    <w:rsid w:val="004A39D9"/>
    <w:rsid w:val="004A4063"/>
    <w:rsid w:val="004A40AA"/>
    <w:rsid w:val="004A40E3"/>
    <w:rsid w:val="004A54CF"/>
    <w:rsid w:val="004A574B"/>
    <w:rsid w:val="004A5852"/>
    <w:rsid w:val="004A58D6"/>
    <w:rsid w:val="004A59EE"/>
    <w:rsid w:val="004A6F41"/>
    <w:rsid w:val="004A6F99"/>
    <w:rsid w:val="004A6F9E"/>
    <w:rsid w:val="004A7D62"/>
    <w:rsid w:val="004B024E"/>
    <w:rsid w:val="004B091B"/>
    <w:rsid w:val="004B0CD5"/>
    <w:rsid w:val="004B13C1"/>
    <w:rsid w:val="004B153F"/>
    <w:rsid w:val="004B17AA"/>
    <w:rsid w:val="004B1858"/>
    <w:rsid w:val="004B189A"/>
    <w:rsid w:val="004B1F50"/>
    <w:rsid w:val="004B20AE"/>
    <w:rsid w:val="004B276B"/>
    <w:rsid w:val="004B27DC"/>
    <w:rsid w:val="004B2B5C"/>
    <w:rsid w:val="004B2D0B"/>
    <w:rsid w:val="004B331C"/>
    <w:rsid w:val="004B3677"/>
    <w:rsid w:val="004B3D30"/>
    <w:rsid w:val="004B49B7"/>
    <w:rsid w:val="004B4BE5"/>
    <w:rsid w:val="004B612C"/>
    <w:rsid w:val="004B6303"/>
    <w:rsid w:val="004B69B5"/>
    <w:rsid w:val="004B6C12"/>
    <w:rsid w:val="004B70C2"/>
    <w:rsid w:val="004B7231"/>
    <w:rsid w:val="004B79B1"/>
    <w:rsid w:val="004C04FD"/>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3C6"/>
    <w:rsid w:val="004C352D"/>
    <w:rsid w:val="004C3717"/>
    <w:rsid w:val="004C3CE0"/>
    <w:rsid w:val="004C427B"/>
    <w:rsid w:val="004C454A"/>
    <w:rsid w:val="004C4C9A"/>
    <w:rsid w:val="004C4F40"/>
    <w:rsid w:val="004C52E0"/>
    <w:rsid w:val="004C6D7C"/>
    <w:rsid w:val="004C708B"/>
    <w:rsid w:val="004C7878"/>
    <w:rsid w:val="004C7B66"/>
    <w:rsid w:val="004C7F9B"/>
    <w:rsid w:val="004D0091"/>
    <w:rsid w:val="004D025E"/>
    <w:rsid w:val="004D03E2"/>
    <w:rsid w:val="004D0706"/>
    <w:rsid w:val="004D1035"/>
    <w:rsid w:val="004D111F"/>
    <w:rsid w:val="004D16E4"/>
    <w:rsid w:val="004D1BAF"/>
    <w:rsid w:val="004D1D4E"/>
    <w:rsid w:val="004D1EBD"/>
    <w:rsid w:val="004D2095"/>
    <w:rsid w:val="004D279D"/>
    <w:rsid w:val="004D2873"/>
    <w:rsid w:val="004D2BF7"/>
    <w:rsid w:val="004D2D60"/>
    <w:rsid w:val="004D2F82"/>
    <w:rsid w:val="004D3179"/>
    <w:rsid w:val="004D38A5"/>
    <w:rsid w:val="004D4334"/>
    <w:rsid w:val="004D52B7"/>
    <w:rsid w:val="004D5988"/>
    <w:rsid w:val="004D6CFB"/>
    <w:rsid w:val="004D6E9B"/>
    <w:rsid w:val="004D7623"/>
    <w:rsid w:val="004D7853"/>
    <w:rsid w:val="004D7A02"/>
    <w:rsid w:val="004E1255"/>
    <w:rsid w:val="004E163A"/>
    <w:rsid w:val="004E1A4B"/>
    <w:rsid w:val="004E1C0F"/>
    <w:rsid w:val="004E1C6D"/>
    <w:rsid w:val="004E1FAC"/>
    <w:rsid w:val="004E202B"/>
    <w:rsid w:val="004E290F"/>
    <w:rsid w:val="004E2B3C"/>
    <w:rsid w:val="004E2C6C"/>
    <w:rsid w:val="004E3282"/>
    <w:rsid w:val="004E32F3"/>
    <w:rsid w:val="004E35AF"/>
    <w:rsid w:val="004E3D58"/>
    <w:rsid w:val="004E40FC"/>
    <w:rsid w:val="004E474F"/>
    <w:rsid w:val="004E4921"/>
    <w:rsid w:val="004E49D7"/>
    <w:rsid w:val="004E4A21"/>
    <w:rsid w:val="004E4AE0"/>
    <w:rsid w:val="004E4FF9"/>
    <w:rsid w:val="004E53D7"/>
    <w:rsid w:val="004E581E"/>
    <w:rsid w:val="004E5984"/>
    <w:rsid w:val="004E5B57"/>
    <w:rsid w:val="004E5D22"/>
    <w:rsid w:val="004E637F"/>
    <w:rsid w:val="004E65EE"/>
    <w:rsid w:val="004E664E"/>
    <w:rsid w:val="004E694B"/>
    <w:rsid w:val="004E6978"/>
    <w:rsid w:val="004E69BA"/>
    <w:rsid w:val="004E76AD"/>
    <w:rsid w:val="004E7826"/>
    <w:rsid w:val="004E7AC9"/>
    <w:rsid w:val="004E7C49"/>
    <w:rsid w:val="004F02C7"/>
    <w:rsid w:val="004F04D9"/>
    <w:rsid w:val="004F05A5"/>
    <w:rsid w:val="004F0EEC"/>
    <w:rsid w:val="004F130A"/>
    <w:rsid w:val="004F148D"/>
    <w:rsid w:val="004F182F"/>
    <w:rsid w:val="004F187F"/>
    <w:rsid w:val="004F1895"/>
    <w:rsid w:val="004F2082"/>
    <w:rsid w:val="004F2706"/>
    <w:rsid w:val="004F28ED"/>
    <w:rsid w:val="004F2A0D"/>
    <w:rsid w:val="004F2A27"/>
    <w:rsid w:val="004F2A99"/>
    <w:rsid w:val="004F2C39"/>
    <w:rsid w:val="004F3109"/>
    <w:rsid w:val="004F3753"/>
    <w:rsid w:val="004F3A51"/>
    <w:rsid w:val="004F3AFC"/>
    <w:rsid w:val="004F3B77"/>
    <w:rsid w:val="004F4269"/>
    <w:rsid w:val="004F4B00"/>
    <w:rsid w:val="004F4BE2"/>
    <w:rsid w:val="004F4DD9"/>
    <w:rsid w:val="004F4EBD"/>
    <w:rsid w:val="004F530D"/>
    <w:rsid w:val="004F5B50"/>
    <w:rsid w:val="004F5FE8"/>
    <w:rsid w:val="004F66E5"/>
    <w:rsid w:val="004F7F0C"/>
    <w:rsid w:val="00500A1A"/>
    <w:rsid w:val="00500B8F"/>
    <w:rsid w:val="00500DF2"/>
    <w:rsid w:val="0050143A"/>
    <w:rsid w:val="00501ACB"/>
    <w:rsid w:val="00501B2E"/>
    <w:rsid w:val="0050227A"/>
    <w:rsid w:val="005022C0"/>
    <w:rsid w:val="0050245C"/>
    <w:rsid w:val="00502BB8"/>
    <w:rsid w:val="00502FB9"/>
    <w:rsid w:val="005033A4"/>
    <w:rsid w:val="00503FD1"/>
    <w:rsid w:val="005042D6"/>
    <w:rsid w:val="005046D4"/>
    <w:rsid w:val="00504E34"/>
    <w:rsid w:val="00504F56"/>
    <w:rsid w:val="0050502B"/>
    <w:rsid w:val="005050F2"/>
    <w:rsid w:val="00505275"/>
    <w:rsid w:val="00505585"/>
    <w:rsid w:val="0050627D"/>
    <w:rsid w:val="00506A39"/>
    <w:rsid w:val="00506C9C"/>
    <w:rsid w:val="005071AD"/>
    <w:rsid w:val="005072DD"/>
    <w:rsid w:val="00507CB2"/>
    <w:rsid w:val="005103B1"/>
    <w:rsid w:val="00510412"/>
    <w:rsid w:val="005106F3"/>
    <w:rsid w:val="00510C42"/>
    <w:rsid w:val="005114DF"/>
    <w:rsid w:val="00511932"/>
    <w:rsid w:val="00511D66"/>
    <w:rsid w:val="00511EED"/>
    <w:rsid w:val="0051274E"/>
    <w:rsid w:val="00512A3A"/>
    <w:rsid w:val="00512A7C"/>
    <w:rsid w:val="00512B39"/>
    <w:rsid w:val="00513420"/>
    <w:rsid w:val="00513D34"/>
    <w:rsid w:val="00513EE9"/>
    <w:rsid w:val="00514147"/>
    <w:rsid w:val="005142F8"/>
    <w:rsid w:val="00514555"/>
    <w:rsid w:val="00514928"/>
    <w:rsid w:val="00514F9D"/>
    <w:rsid w:val="00515394"/>
    <w:rsid w:val="005156ED"/>
    <w:rsid w:val="00515B52"/>
    <w:rsid w:val="005160A2"/>
    <w:rsid w:val="00516797"/>
    <w:rsid w:val="0051694E"/>
    <w:rsid w:val="005169FC"/>
    <w:rsid w:val="00516BD6"/>
    <w:rsid w:val="0051706A"/>
    <w:rsid w:val="00517108"/>
    <w:rsid w:val="00517C88"/>
    <w:rsid w:val="005203F2"/>
    <w:rsid w:val="00520701"/>
    <w:rsid w:val="00520A61"/>
    <w:rsid w:val="0052111B"/>
    <w:rsid w:val="00521598"/>
    <w:rsid w:val="0052183C"/>
    <w:rsid w:val="00521AC6"/>
    <w:rsid w:val="00521CAC"/>
    <w:rsid w:val="00521FA0"/>
    <w:rsid w:val="0052260A"/>
    <w:rsid w:val="00522997"/>
    <w:rsid w:val="005229BF"/>
    <w:rsid w:val="00522AD1"/>
    <w:rsid w:val="00522F3F"/>
    <w:rsid w:val="00523126"/>
    <w:rsid w:val="005235C8"/>
    <w:rsid w:val="00523728"/>
    <w:rsid w:val="00524DF9"/>
    <w:rsid w:val="005250C0"/>
    <w:rsid w:val="005255F4"/>
    <w:rsid w:val="00525831"/>
    <w:rsid w:val="00525F93"/>
    <w:rsid w:val="00525FCE"/>
    <w:rsid w:val="005266A7"/>
    <w:rsid w:val="0052677E"/>
    <w:rsid w:val="005271C3"/>
    <w:rsid w:val="005274AB"/>
    <w:rsid w:val="005279BA"/>
    <w:rsid w:val="00527E48"/>
    <w:rsid w:val="00527E4D"/>
    <w:rsid w:val="005301E8"/>
    <w:rsid w:val="00530A60"/>
    <w:rsid w:val="00530CF3"/>
    <w:rsid w:val="00530E2F"/>
    <w:rsid w:val="005317E6"/>
    <w:rsid w:val="0053197A"/>
    <w:rsid w:val="005319A3"/>
    <w:rsid w:val="00531C25"/>
    <w:rsid w:val="0053213E"/>
    <w:rsid w:val="00532410"/>
    <w:rsid w:val="00532524"/>
    <w:rsid w:val="005325D0"/>
    <w:rsid w:val="00532951"/>
    <w:rsid w:val="005339C9"/>
    <w:rsid w:val="00533DE5"/>
    <w:rsid w:val="00533EC7"/>
    <w:rsid w:val="00533ED1"/>
    <w:rsid w:val="0053404F"/>
    <w:rsid w:val="0053408E"/>
    <w:rsid w:val="005349A3"/>
    <w:rsid w:val="00535497"/>
    <w:rsid w:val="00535750"/>
    <w:rsid w:val="00535BB4"/>
    <w:rsid w:val="00535C02"/>
    <w:rsid w:val="00536189"/>
    <w:rsid w:val="005363F5"/>
    <w:rsid w:val="005365C8"/>
    <w:rsid w:val="00536640"/>
    <w:rsid w:val="005369DE"/>
    <w:rsid w:val="00536C2B"/>
    <w:rsid w:val="00536E7F"/>
    <w:rsid w:val="00537145"/>
    <w:rsid w:val="0053772A"/>
    <w:rsid w:val="00537763"/>
    <w:rsid w:val="00537C91"/>
    <w:rsid w:val="00537D50"/>
    <w:rsid w:val="00537DF3"/>
    <w:rsid w:val="00537E2E"/>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3B9B"/>
    <w:rsid w:val="00544099"/>
    <w:rsid w:val="00544EF1"/>
    <w:rsid w:val="00544F78"/>
    <w:rsid w:val="00545077"/>
    <w:rsid w:val="005451FF"/>
    <w:rsid w:val="00545728"/>
    <w:rsid w:val="00545F8E"/>
    <w:rsid w:val="005464E9"/>
    <w:rsid w:val="0054685E"/>
    <w:rsid w:val="0054733C"/>
    <w:rsid w:val="0054791C"/>
    <w:rsid w:val="00547E3A"/>
    <w:rsid w:val="0055000C"/>
    <w:rsid w:val="005500EC"/>
    <w:rsid w:val="005506A1"/>
    <w:rsid w:val="005507B6"/>
    <w:rsid w:val="00550B07"/>
    <w:rsid w:val="00550BAE"/>
    <w:rsid w:val="00550D8E"/>
    <w:rsid w:val="0055115E"/>
    <w:rsid w:val="005517F0"/>
    <w:rsid w:val="00552012"/>
    <w:rsid w:val="0055246C"/>
    <w:rsid w:val="0055273C"/>
    <w:rsid w:val="00552F78"/>
    <w:rsid w:val="005547C6"/>
    <w:rsid w:val="00554D82"/>
    <w:rsid w:val="005550B6"/>
    <w:rsid w:val="005557EC"/>
    <w:rsid w:val="00555F2A"/>
    <w:rsid w:val="00555FEC"/>
    <w:rsid w:val="0055612B"/>
    <w:rsid w:val="00556359"/>
    <w:rsid w:val="00556585"/>
    <w:rsid w:val="0055662A"/>
    <w:rsid w:val="00556C0D"/>
    <w:rsid w:val="00556D02"/>
    <w:rsid w:val="00556F17"/>
    <w:rsid w:val="00556F2B"/>
    <w:rsid w:val="005576E4"/>
    <w:rsid w:val="00557C92"/>
    <w:rsid w:val="00557DF6"/>
    <w:rsid w:val="00560154"/>
    <w:rsid w:val="00560175"/>
    <w:rsid w:val="0056038A"/>
    <w:rsid w:val="005607F6"/>
    <w:rsid w:val="0056098B"/>
    <w:rsid w:val="00560D3E"/>
    <w:rsid w:val="00560F19"/>
    <w:rsid w:val="00561253"/>
    <w:rsid w:val="0056147F"/>
    <w:rsid w:val="005617D9"/>
    <w:rsid w:val="005618BB"/>
    <w:rsid w:val="005621F7"/>
    <w:rsid w:val="00562B53"/>
    <w:rsid w:val="005636AF"/>
    <w:rsid w:val="0056378E"/>
    <w:rsid w:val="005637A8"/>
    <w:rsid w:val="00563CE2"/>
    <w:rsid w:val="00563ED4"/>
    <w:rsid w:val="005640F8"/>
    <w:rsid w:val="0056414D"/>
    <w:rsid w:val="00564787"/>
    <w:rsid w:val="0056539A"/>
    <w:rsid w:val="0056561C"/>
    <w:rsid w:val="00565B7D"/>
    <w:rsid w:val="00565BB3"/>
    <w:rsid w:val="005669A4"/>
    <w:rsid w:val="0056703B"/>
    <w:rsid w:val="0056722A"/>
    <w:rsid w:val="0056779E"/>
    <w:rsid w:val="0056796C"/>
    <w:rsid w:val="00567A64"/>
    <w:rsid w:val="00567BB2"/>
    <w:rsid w:val="00567DB7"/>
    <w:rsid w:val="00567F04"/>
    <w:rsid w:val="005702B3"/>
    <w:rsid w:val="00570367"/>
    <w:rsid w:val="005707F8"/>
    <w:rsid w:val="00570B09"/>
    <w:rsid w:val="00570E55"/>
    <w:rsid w:val="00571369"/>
    <w:rsid w:val="005715A4"/>
    <w:rsid w:val="0057188B"/>
    <w:rsid w:val="005719B4"/>
    <w:rsid w:val="00571EDC"/>
    <w:rsid w:val="005722AF"/>
    <w:rsid w:val="00572387"/>
    <w:rsid w:val="005724DA"/>
    <w:rsid w:val="0057265A"/>
    <w:rsid w:val="00572674"/>
    <w:rsid w:val="005728DE"/>
    <w:rsid w:val="00572F3B"/>
    <w:rsid w:val="00573AC4"/>
    <w:rsid w:val="00573EC0"/>
    <w:rsid w:val="00573FB1"/>
    <w:rsid w:val="00574430"/>
    <w:rsid w:val="00574516"/>
    <w:rsid w:val="00574A47"/>
    <w:rsid w:val="005751FA"/>
    <w:rsid w:val="0057578A"/>
    <w:rsid w:val="00575820"/>
    <w:rsid w:val="00575BFE"/>
    <w:rsid w:val="0057611C"/>
    <w:rsid w:val="00576D6B"/>
    <w:rsid w:val="00576E59"/>
    <w:rsid w:val="005773E6"/>
    <w:rsid w:val="0057778E"/>
    <w:rsid w:val="00577B75"/>
    <w:rsid w:val="00577C2F"/>
    <w:rsid w:val="00577C93"/>
    <w:rsid w:val="00577EE8"/>
    <w:rsid w:val="0058006A"/>
    <w:rsid w:val="00580096"/>
    <w:rsid w:val="00580408"/>
    <w:rsid w:val="00580530"/>
    <w:rsid w:val="00580730"/>
    <w:rsid w:val="00580770"/>
    <w:rsid w:val="005808AC"/>
    <w:rsid w:val="00581007"/>
    <w:rsid w:val="00581DB5"/>
    <w:rsid w:val="00582EA0"/>
    <w:rsid w:val="00583734"/>
    <w:rsid w:val="00584522"/>
    <w:rsid w:val="0058463E"/>
    <w:rsid w:val="00584D8D"/>
    <w:rsid w:val="0058527E"/>
    <w:rsid w:val="00585565"/>
    <w:rsid w:val="005859CD"/>
    <w:rsid w:val="00585C82"/>
    <w:rsid w:val="0058627A"/>
    <w:rsid w:val="005862BB"/>
    <w:rsid w:val="005862CE"/>
    <w:rsid w:val="00586716"/>
    <w:rsid w:val="00586A91"/>
    <w:rsid w:val="00586AC4"/>
    <w:rsid w:val="00587248"/>
    <w:rsid w:val="0058768C"/>
    <w:rsid w:val="005876A4"/>
    <w:rsid w:val="00587F72"/>
    <w:rsid w:val="00590D6D"/>
    <w:rsid w:val="00590EC3"/>
    <w:rsid w:val="00591868"/>
    <w:rsid w:val="00591D26"/>
    <w:rsid w:val="00591D7F"/>
    <w:rsid w:val="00593402"/>
    <w:rsid w:val="005936CF"/>
    <w:rsid w:val="00594316"/>
    <w:rsid w:val="005943B6"/>
    <w:rsid w:val="00594499"/>
    <w:rsid w:val="0059479C"/>
    <w:rsid w:val="005956B0"/>
    <w:rsid w:val="005957B5"/>
    <w:rsid w:val="00595A23"/>
    <w:rsid w:val="00596105"/>
    <w:rsid w:val="0059616C"/>
    <w:rsid w:val="00596316"/>
    <w:rsid w:val="005966D3"/>
    <w:rsid w:val="00596BDE"/>
    <w:rsid w:val="00596E8E"/>
    <w:rsid w:val="00596F55"/>
    <w:rsid w:val="0059774D"/>
    <w:rsid w:val="00597A09"/>
    <w:rsid w:val="00597C3A"/>
    <w:rsid w:val="00597DEC"/>
    <w:rsid w:val="005A015C"/>
    <w:rsid w:val="005A0163"/>
    <w:rsid w:val="005A0367"/>
    <w:rsid w:val="005A073A"/>
    <w:rsid w:val="005A0B3C"/>
    <w:rsid w:val="005A1115"/>
    <w:rsid w:val="005A1227"/>
    <w:rsid w:val="005A1C30"/>
    <w:rsid w:val="005A2132"/>
    <w:rsid w:val="005A27E9"/>
    <w:rsid w:val="005A2AA6"/>
    <w:rsid w:val="005A2BE1"/>
    <w:rsid w:val="005A2FB6"/>
    <w:rsid w:val="005A3205"/>
    <w:rsid w:val="005A4709"/>
    <w:rsid w:val="005A4DBF"/>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229"/>
    <w:rsid w:val="005B06E4"/>
    <w:rsid w:val="005B0D15"/>
    <w:rsid w:val="005B1238"/>
    <w:rsid w:val="005B17E8"/>
    <w:rsid w:val="005B18BE"/>
    <w:rsid w:val="005B1F35"/>
    <w:rsid w:val="005B211D"/>
    <w:rsid w:val="005B2392"/>
    <w:rsid w:val="005B27BF"/>
    <w:rsid w:val="005B2852"/>
    <w:rsid w:val="005B35B0"/>
    <w:rsid w:val="005B3695"/>
    <w:rsid w:val="005B39B9"/>
    <w:rsid w:val="005B3A8F"/>
    <w:rsid w:val="005B4064"/>
    <w:rsid w:val="005B4071"/>
    <w:rsid w:val="005B47FC"/>
    <w:rsid w:val="005B4C71"/>
    <w:rsid w:val="005B4E82"/>
    <w:rsid w:val="005B52CA"/>
    <w:rsid w:val="005B5746"/>
    <w:rsid w:val="005B5B2E"/>
    <w:rsid w:val="005B5E23"/>
    <w:rsid w:val="005B632E"/>
    <w:rsid w:val="005B6E15"/>
    <w:rsid w:val="005B6EDE"/>
    <w:rsid w:val="005B7003"/>
    <w:rsid w:val="005B7564"/>
    <w:rsid w:val="005B7BEA"/>
    <w:rsid w:val="005C014E"/>
    <w:rsid w:val="005C03B2"/>
    <w:rsid w:val="005C105E"/>
    <w:rsid w:val="005C1B34"/>
    <w:rsid w:val="005C1F44"/>
    <w:rsid w:val="005C21D9"/>
    <w:rsid w:val="005C222A"/>
    <w:rsid w:val="005C2467"/>
    <w:rsid w:val="005C2535"/>
    <w:rsid w:val="005C426F"/>
    <w:rsid w:val="005C44F6"/>
    <w:rsid w:val="005C48B4"/>
    <w:rsid w:val="005C526E"/>
    <w:rsid w:val="005C572C"/>
    <w:rsid w:val="005C58E3"/>
    <w:rsid w:val="005C6119"/>
    <w:rsid w:val="005C6299"/>
    <w:rsid w:val="005C69EB"/>
    <w:rsid w:val="005C7701"/>
    <w:rsid w:val="005C7C21"/>
    <w:rsid w:val="005C7D61"/>
    <w:rsid w:val="005C7D89"/>
    <w:rsid w:val="005D0B7F"/>
    <w:rsid w:val="005D0C12"/>
    <w:rsid w:val="005D0C5A"/>
    <w:rsid w:val="005D1077"/>
    <w:rsid w:val="005D1A4B"/>
    <w:rsid w:val="005D2B18"/>
    <w:rsid w:val="005D2C02"/>
    <w:rsid w:val="005D31AE"/>
    <w:rsid w:val="005D321F"/>
    <w:rsid w:val="005D352D"/>
    <w:rsid w:val="005D3A6F"/>
    <w:rsid w:val="005D4312"/>
    <w:rsid w:val="005D44C4"/>
    <w:rsid w:val="005D4830"/>
    <w:rsid w:val="005D4F97"/>
    <w:rsid w:val="005D51BE"/>
    <w:rsid w:val="005D5326"/>
    <w:rsid w:val="005D5945"/>
    <w:rsid w:val="005D5A97"/>
    <w:rsid w:val="005D5D2C"/>
    <w:rsid w:val="005D6B4F"/>
    <w:rsid w:val="005D6CF0"/>
    <w:rsid w:val="005D6EEC"/>
    <w:rsid w:val="005D7001"/>
    <w:rsid w:val="005D77E2"/>
    <w:rsid w:val="005E060C"/>
    <w:rsid w:val="005E0DFE"/>
    <w:rsid w:val="005E11D3"/>
    <w:rsid w:val="005E1246"/>
    <w:rsid w:val="005E1454"/>
    <w:rsid w:val="005E2137"/>
    <w:rsid w:val="005E218B"/>
    <w:rsid w:val="005E258D"/>
    <w:rsid w:val="005E278A"/>
    <w:rsid w:val="005E28B2"/>
    <w:rsid w:val="005E28E2"/>
    <w:rsid w:val="005E28EF"/>
    <w:rsid w:val="005E29B9"/>
    <w:rsid w:val="005E2C84"/>
    <w:rsid w:val="005E2F94"/>
    <w:rsid w:val="005E2FD1"/>
    <w:rsid w:val="005E310B"/>
    <w:rsid w:val="005E36C4"/>
    <w:rsid w:val="005E3913"/>
    <w:rsid w:val="005E4534"/>
    <w:rsid w:val="005E4982"/>
    <w:rsid w:val="005E4C83"/>
    <w:rsid w:val="005E5190"/>
    <w:rsid w:val="005E527F"/>
    <w:rsid w:val="005E58ED"/>
    <w:rsid w:val="005E5FBE"/>
    <w:rsid w:val="005E6206"/>
    <w:rsid w:val="005E6417"/>
    <w:rsid w:val="005E651C"/>
    <w:rsid w:val="005E6D31"/>
    <w:rsid w:val="005E747D"/>
    <w:rsid w:val="005E77D3"/>
    <w:rsid w:val="005E7BED"/>
    <w:rsid w:val="005E7E35"/>
    <w:rsid w:val="005F09C1"/>
    <w:rsid w:val="005F0B16"/>
    <w:rsid w:val="005F0D8C"/>
    <w:rsid w:val="005F0E51"/>
    <w:rsid w:val="005F145D"/>
    <w:rsid w:val="005F1DD5"/>
    <w:rsid w:val="005F2201"/>
    <w:rsid w:val="005F28F9"/>
    <w:rsid w:val="005F2BFF"/>
    <w:rsid w:val="005F2E51"/>
    <w:rsid w:val="005F3015"/>
    <w:rsid w:val="005F3465"/>
    <w:rsid w:val="005F393D"/>
    <w:rsid w:val="005F3B35"/>
    <w:rsid w:val="005F3B4D"/>
    <w:rsid w:val="005F3BF6"/>
    <w:rsid w:val="005F3C83"/>
    <w:rsid w:val="005F41A2"/>
    <w:rsid w:val="005F41B2"/>
    <w:rsid w:val="005F42EA"/>
    <w:rsid w:val="005F471B"/>
    <w:rsid w:val="005F48B6"/>
    <w:rsid w:val="005F517F"/>
    <w:rsid w:val="005F5541"/>
    <w:rsid w:val="005F6003"/>
    <w:rsid w:val="005F6572"/>
    <w:rsid w:val="005F6745"/>
    <w:rsid w:val="005F67B4"/>
    <w:rsid w:val="005F69DB"/>
    <w:rsid w:val="005F6AD4"/>
    <w:rsid w:val="005F7610"/>
    <w:rsid w:val="005F78E3"/>
    <w:rsid w:val="005F7D75"/>
    <w:rsid w:val="005F7E28"/>
    <w:rsid w:val="005F7F03"/>
    <w:rsid w:val="00600142"/>
    <w:rsid w:val="006003B3"/>
    <w:rsid w:val="00600E38"/>
    <w:rsid w:val="00601376"/>
    <w:rsid w:val="006013CB"/>
    <w:rsid w:val="00601A3D"/>
    <w:rsid w:val="006024A7"/>
    <w:rsid w:val="006028BD"/>
    <w:rsid w:val="00602EAA"/>
    <w:rsid w:val="00602F1A"/>
    <w:rsid w:val="006033A9"/>
    <w:rsid w:val="00603A45"/>
    <w:rsid w:val="00604002"/>
    <w:rsid w:val="00604510"/>
    <w:rsid w:val="0060451B"/>
    <w:rsid w:val="0060451C"/>
    <w:rsid w:val="006049B6"/>
    <w:rsid w:val="00604B1F"/>
    <w:rsid w:val="00604CFF"/>
    <w:rsid w:val="00604F06"/>
    <w:rsid w:val="00605567"/>
    <w:rsid w:val="00605755"/>
    <w:rsid w:val="006058C4"/>
    <w:rsid w:val="0060681E"/>
    <w:rsid w:val="00606B67"/>
    <w:rsid w:val="00606BE6"/>
    <w:rsid w:val="00607137"/>
    <w:rsid w:val="006103EB"/>
    <w:rsid w:val="00610567"/>
    <w:rsid w:val="0061064E"/>
    <w:rsid w:val="006108C3"/>
    <w:rsid w:val="00610BEC"/>
    <w:rsid w:val="0061135C"/>
    <w:rsid w:val="00611364"/>
    <w:rsid w:val="00611FE1"/>
    <w:rsid w:val="006121FA"/>
    <w:rsid w:val="0061266E"/>
    <w:rsid w:val="006126B3"/>
    <w:rsid w:val="00612959"/>
    <w:rsid w:val="00612C46"/>
    <w:rsid w:val="00612EBB"/>
    <w:rsid w:val="006130D4"/>
    <w:rsid w:val="0061335F"/>
    <w:rsid w:val="006134F6"/>
    <w:rsid w:val="00614188"/>
    <w:rsid w:val="00615799"/>
    <w:rsid w:val="00615AD2"/>
    <w:rsid w:val="00615C9C"/>
    <w:rsid w:val="00615E42"/>
    <w:rsid w:val="00615FEA"/>
    <w:rsid w:val="0061631C"/>
    <w:rsid w:val="0061687B"/>
    <w:rsid w:val="006176EA"/>
    <w:rsid w:val="006206C5"/>
    <w:rsid w:val="006208E6"/>
    <w:rsid w:val="006214BF"/>
    <w:rsid w:val="00621613"/>
    <w:rsid w:val="00621653"/>
    <w:rsid w:val="00621F8E"/>
    <w:rsid w:val="006223A4"/>
    <w:rsid w:val="00622873"/>
    <w:rsid w:val="00622AD0"/>
    <w:rsid w:val="006230D9"/>
    <w:rsid w:val="006244A3"/>
    <w:rsid w:val="00624591"/>
    <w:rsid w:val="006245C6"/>
    <w:rsid w:val="00624A78"/>
    <w:rsid w:val="0062500D"/>
    <w:rsid w:val="006252B9"/>
    <w:rsid w:val="0062539C"/>
    <w:rsid w:val="006255AC"/>
    <w:rsid w:val="0062598B"/>
    <w:rsid w:val="00625AA2"/>
    <w:rsid w:val="00625D19"/>
    <w:rsid w:val="00625D5D"/>
    <w:rsid w:val="00625EAB"/>
    <w:rsid w:val="00626358"/>
    <w:rsid w:val="0062685C"/>
    <w:rsid w:val="00626944"/>
    <w:rsid w:val="00626ABA"/>
    <w:rsid w:val="00626ABF"/>
    <w:rsid w:val="00626B6E"/>
    <w:rsid w:val="00626C60"/>
    <w:rsid w:val="00626FD3"/>
    <w:rsid w:val="00627270"/>
    <w:rsid w:val="006277EE"/>
    <w:rsid w:val="00627A38"/>
    <w:rsid w:val="00627A89"/>
    <w:rsid w:val="006303DA"/>
    <w:rsid w:val="0063048E"/>
    <w:rsid w:val="00630AF6"/>
    <w:rsid w:val="00630B28"/>
    <w:rsid w:val="00630BEA"/>
    <w:rsid w:val="006310B1"/>
    <w:rsid w:val="006312F3"/>
    <w:rsid w:val="00631301"/>
    <w:rsid w:val="006316F2"/>
    <w:rsid w:val="0063265D"/>
    <w:rsid w:val="00632BC5"/>
    <w:rsid w:val="00632C85"/>
    <w:rsid w:val="00633617"/>
    <w:rsid w:val="00633BA5"/>
    <w:rsid w:val="00633BAF"/>
    <w:rsid w:val="00633FAE"/>
    <w:rsid w:val="0063409C"/>
    <w:rsid w:val="0063442A"/>
    <w:rsid w:val="0063448F"/>
    <w:rsid w:val="0063452E"/>
    <w:rsid w:val="00634920"/>
    <w:rsid w:val="00634C6E"/>
    <w:rsid w:val="0063514C"/>
    <w:rsid w:val="006352BB"/>
    <w:rsid w:val="006353F2"/>
    <w:rsid w:val="00635405"/>
    <w:rsid w:val="0063568A"/>
    <w:rsid w:val="006357C6"/>
    <w:rsid w:val="00635A28"/>
    <w:rsid w:val="00636010"/>
    <w:rsid w:val="00636252"/>
    <w:rsid w:val="00636318"/>
    <w:rsid w:val="006364A0"/>
    <w:rsid w:val="006367A0"/>
    <w:rsid w:val="006369C3"/>
    <w:rsid w:val="0063796B"/>
    <w:rsid w:val="006407FF"/>
    <w:rsid w:val="00640B3F"/>
    <w:rsid w:val="006414DC"/>
    <w:rsid w:val="00641872"/>
    <w:rsid w:val="006423C0"/>
    <w:rsid w:val="00642788"/>
    <w:rsid w:val="006428D0"/>
    <w:rsid w:val="00642BA7"/>
    <w:rsid w:val="006438FE"/>
    <w:rsid w:val="00643EF7"/>
    <w:rsid w:val="00645821"/>
    <w:rsid w:val="00645A0A"/>
    <w:rsid w:val="00645A9F"/>
    <w:rsid w:val="00645E00"/>
    <w:rsid w:val="00645E7F"/>
    <w:rsid w:val="00645F6C"/>
    <w:rsid w:val="00646055"/>
    <w:rsid w:val="006469AA"/>
    <w:rsid w:val="00647AD9"/>
    <w:rsid w:val="00647E1F"/>
    <w:rsid w:val="00647FE3"/>
    <w:rsid w:val="006508A6"/>
    <w:rsid w:val="00650D2A"/>
    <w:rsid w:val="00650F25"/>
    <w:rsid w:val="006512C4"/>
    <w:rsid w:val="0065154C"/>
    <w:rsid w:val="00651887"/>
    <w:rsid w:val="006518AC"/>
    <w:rsid w:val="00652FAC"/>
    <w:rsid w:val="00653294"/>
    <w:rsid w:val="006535C8"/>
    <w:rsid w:val="0065459C"/>
    <w:rsid w:val="00654761"/>
    <w:rsid w:val="00654D16"/>
    <w:rsid w:val="00655008"/>
    <w:rsid w:val="006550C1"/>
    <w:rsid w:val="0065558C"/>
    <w:rsid w:val="00655758"/>
    <w:rsid w:val="006559DA"/>
    <w:rsid w:val="00655B9D"/>
    <w:rsid w:val="006562D8"/>
    <w:rsid w:val="00656B40"/>
    <w:rsid w:val="00656CBB"/>
    <w:rsid w:val="00656DA1"/>
    <w:rsid w:val="00656F05"/>
    <w:rsid w:val="006570AE"/>
    <w:rsid w:val="006576E3"/>
    <w:rsid w:val="006579A4"/>
    <w:rsid w:val="006608BD"/>
    <w:rsid w:val="006613D1"/>
    <w:rsid w:val="006614DA"/>
    <w:rsid w:val="006615C8"/>
    <w:rsid w:val="00661989"/>
    <w:rsid w:val="006619DF"/>
    <w:rsid w:val="006626E2"/>
    <w:rsid w:val="0066278E"/>
    <w:rsid w:val="00662D3D"/>
    <w:rsid w:val="00663BED"/>
    <w:rsid w:val="006640E0"/>
    <w:rsid w:val="00664199"/>
    <w:rsid w:val="0066422B"/>
    <w:rsid w:val="006642E3"/>
    <w:rsid w:val="0066468D"/>
    <w:rsid w:val="00664BAE"/>
    <w:rsid w:val="00664EFD"/>
    <w:rsid w:val="006651F7"/>
    <w:rsid w:val="00665516"/>
    <w:rsid w:val="00665629"/>
    <w:rsid w:val="0066587B"/>
    <w:rsid w:val="00665A7D"/>
    <w:rsid w:val="00665AC8"/>
    <w:rsid w:val="00665E01"/>
    <w:rsid w:val="00665E45"/>
    <w:rsid w:val="00665EA0"/>
    <w:rsid w:val="00665FAC"/>
    <w:rsid w:val="00666992"/>
    <w:rsid w:val="00666A76"/>
    <w:rsid w:val="006674A2"/>
    <w:rsid w:val="00667627"/>
    <w:rsid w:val="00667702"/>
    <w:rsid w:val="00667B10"/>
    <w:rsid w:val="00667E02"/>
    <w:rsid w:val="00670138"/>
    <w:rsid w:val="006703D0"/>
    <w:rsid w:val="00670466"/>
    <w:rsid w:val="006705C7"/>
    <w:rsid w:val="00670823"/>
    <w:rsid w:val="00670B57"/>
    <w:rsid w:val="00670C06"/>
    <w:rsid w:val="00671017"/>
    <w:rsid w:val="00671EF0"/>
    <w:rsid w:val="00672486"/>
    <w:rsid w:val="00672EC3"/>
    <w:rsid w:val="00673684"/>
    <w:rsid w:val="00673CE8"/>
    <w:rsid w:val="00673DBE"/>
    <w:rsid w:val="00674C8F"/>
    <w:rsid w:val="00674F2B"/>
    <w:rsid w:val="00675101"/>
    <w:rsid w:val="0067510B"/>
    <w:rsid w:val="00675432"/>
    <w:rsid w:val="00675B3D"/>
    <w:rsid w:val="00675D07"/>
    <w:rsid w:val="00675E8C"/>
    <w:rsid w:val="00677513"/>
    <w:rsid w:val="0067783C"/>
    <w:rsid w:val="00677969"/>
    <w:rsid w:val="00677E08"/>
    <w:rsid w:val="00680080"/>
    <w:rsid w:val="00680685"/>
    <w:rsid w:val="006806D3"/>
    <w:rsid w:val="006809A4"/>
    <w:rsid w:val="00681937"/>
    <w:rsid w:val="00681BB9"/>
    <w:rsid w:val="006820B2"/>
    <w:rsid w:val="006820C5"/>
    <w:rsid w:val="00682175"/>
    <w:rsid w:val="0068219D"/>
    <w:rsid w:val="00682352"/>
    <w:rsid w:val="006827E0"/>
    <w:rsid w:val="0068291C"/>
    <w:rsid w:val="00682A53"/>
    <w:rsid w:val="00682B6A"/>
    <w:rsid w:val="00682D89"/>
    <w:rsid w:val="00682E0D"/>
    <w:rsid w:val="0068307F"/>
    <w:rsid w:val="006830DD"/>
    <w:rsid w:val="0068369F"/>
    <w:rsid w:val="0068382C"/>
    <w:rsid w:val="00683BC5"/>
    <w:rsid w:val="00683DBA"/>
    <w:rsid w:val="006843B8"/>
    <w:rsid w:val="00684999"/>
    <w:rsid w:val="00684B0C"/>
    <w:rsid w:val="00684B3A"/>
    <w:rsid w:val="00685432"/>
    <w:rsid w:val="006856A7"/>
    <w:rsid w:val="006862C9"/>
    <w:rsid w:val="0068641E"/>
    <w:rsid w:val="0068646D"/>
    <w:rsid w:val="006866E3"/>
    <w:rsid w:val="006868FC"/>
    <w:rsid w:val="00686D80"/>
    <w:rsid w:val="00687C2F"/>
    <w:rsid w:val="00687FFB"/>
    <w:rsid w:val="0069012A"/>
    <w:rsid w:val="006903B1"/>
    <w:rsid w:val="00690501"/>
    <w:rsid w:val="00690B13"/>
    <w:rsid w:val="00691110"/>
    <w:rsid w:val="00691281"/>
    <w:rsid w:val="006914F8"/>
    <w:rsid w:val="006915DE"/>
    <w:rsid w:val="00691D2F"/>
    <w:rsid w:val="006921E6"/>
    <w:rsid w:val="00692602"/>
    <w:rsid w:val="00692B95"/>
    <w:rsid w:val="0069368E"/>
    <w:rsid w:val="006942C2"/>
    <w:rsid w:val="00694786"/>
    <w:rsid w:val="0069489D"/>
    <w:rsid w:val="00694ECB"/>
    <w:rsid w:val="0069544F"/>
    <w:rsid w:val="006957EB"/>
    <w:rsid w:val="00695D69"/>
    <w:rsid w:val="00696695"/>
    <w:rsid w:val="00696B9B"/>
    <w:rsid w:val="00696D59"/>
    <w:rsid w:val="0069710B"/>
    <w:rsid w:val="00697C0E"/>
    <w:rsid w:val="006A0480"/>
    <w:rsid w:val="006A05E3"/>
    <w:rsid w:val="006A0D22"/>
    <w:rsid w:val="006A142F"/>
    <w:rsid w:val="006A14B7"/>
    <w:rsid w:val="006A2165"/>
    <w:rsid w:val="006A249E"/>
    <w:rsid w:val="006A2559"/>
    <w:rsid w:val="006A29CE"/>
    <w:rsid w:val="006A3810"/>
    <w:rsid w:val="006A38AF"/>
    <w:rsid w:val="006A4914"/>
    <w:rsid w:val="006A4AFB"/>
    <w:rsid w:val="006A54B4"/>
    <w:rsid w:val="006A5802"/>
    <w:rsid w:val="006A599D"/>
    <w:rsid w:val="006A5E95"/>
    <w:rsid w:val="006A5EC9"/>
    <w:rsid w:val="006A610C"/>
    <w:rsid w:val="006A611E"/>
    <w:rsid w:val="006A62A7"/>
    <w:rsid w:val="006A6A9E"/>
    <w:rsid w:val="006A6B3B"/>
    <w:rsid w:val="006A6D78"/>
    <w:rsid w:val="006A709F"/>
    <w:rsid w:val="006A79F2"/>
    <w:rsid w:val="006A7C21"/>
    <w:rsid w:val="006A7CF4"/>
    <w:rsid w:val="006B0116"/>
    <w:rsid w:val="006B0293"/>
    <w:rsid w:val="006B0548"/>
    <w:rsid w:val="006B0A04"/>
    <w:rsid w:val="006B0DD8"/>
    <w:rsid w:val="006B181B"/>
    <w:rsid w:val="006B1B7F"/>
    <w:rsid w:val="006B1E13"/>
    <w:rsid w:val="006B2013"/>
    <w:rsid w:val="006B27B7"/>
    <w:rsid w:val="006B2827"/>
    <w:rsid w:val="006B368D"/>
    <w:rsid w:val="006B375E"/>
    <w:rsid w:val="006B3C52"/>
    <w:rsid w:val="006B3F2D"/>
    <w:rsid w:val="006B4E1D"/>
    <w:rsid w:val="006B4F6A"/>
    <w:rsid w:val="006B52AF"/>
    <w:rsid w:val="006B5629"/>
    <w:rsid w:val="006B5705"/>
    <w:rsid w:val="006B5925"/>
    <w:rsid w:val="006B5C1D"/>
    <w:rsid w:val="006B67FA"/>
    <w:rsid w:val="006B7273"/>
    <w:rsid w:val="006B784D"/>
    <w:rsid w:val="006C02BA"/>
    <w:rsid w:val="006C181C"/>
    <w:rsid w:val="006C196B"/>
    <w:rsid w:val="006C1A36"/>
    <w:rsid w:val="006C1B1C"/>
    <w:rsid w:val="006C1B8E"/>
    <w:rsid w:val="006C1CB1"/>
    <w:rsid w:val="006C1F00"/>
    <w:rsid w:val="006C2606"/>
    <w:rsid w:val="006C2923"/>
    <w:rsid w:val="006C2D0C"/>
    <w:rsid w:val="006C32E6"/>
    <w:rsid w:val="006C3698"/>
    <w:rsid w:val="006C3AA6"/>
    <w:rsid w:val="006C3D45"/>
    <w:rsid w:val="006C4102"/>
    <w:rsid w:val="006C42C2"/>
    <w:rsid w:val="006C4582"/>
    <w:rsid w:val="006C45A0"/>
    <w:rsid w:val="006C47B1"/>
    <w:rsid w:val="006C4C7C"/>
    <w:rsid w:val="006C4FAE"/>
    <w:rsid w:val="006C53E9"/>
    <w:rsid w:val="006C5B17"/>
    <w:rsid w:val="006C5DFB"/>
    <w:rsid w:val="006C5F62"/>
    <w:rsid w:val="006C6072"/>
    <w:rsid w:val="006C617C"/>
    <w:rsid w:val="006C6690"/>
    <w:rsid w:val="006C6B3F"/>
    <w:rsid w:val="006C7027"/>
    <w:rsid w:val="006C70CC"/>
    <w:rsid w:val="006C7FB5"/>
    <w:rsid w:val="006D1005"/>
    <w:rsid w:val="006D101D"/>
    <w:rsid w:val="006D136F"/>
    <w:rsid w:val="006D1842"/>
    <w:rsid w:val="006D2049"/>
    <w:rsid w:val="006D2370"/>
    <w:rsid w:val="006D29BB"/>
    <w:rsid w:val="006D2C73"/>
    <w:rsid w:val="006D2E4D"/>
    <w:rsid w:val="006D2EE4"/>
    <w:rsid w:val="006D38C8"/>
    <w:rsid w:val="006D3A59"/>
    <w:rsid w:val="006D43CA"/>
    <w:rsid w:val="006D4895"/>
    <w:rsid w:val="006D5381"/>
    <w:rsid w:val="006D5911"/>
    <w:rsid w:val="006D6729"/>
    <w:rsid w:val="006D6763"/>
    <w:rsid w:val="006D6807"/>
    <w:rsid w:val="006D6B6D"/>
    <w:rsid w:val="006D6EC5"/>
    <w:rsid w:val="006D7202"/>
    <w:rsid w:val="006D7272"/>
    <w:rsid w:val="006D7743"/>
    <w:rsid w:val="006D796D"/>
    <w:rsid w:val="006D7B3E"/>
    <w:rsid w:val="006D7BED"/>
    <w:rsid w:val="006E037C"/>
    <w:rsid w:val="006E0441"/>
    <w:rsid w:val="006E141A"/>
    <w:rsid w:val="006E1B72"/>
    <w:rsid w:val="006E1F90"/>
    <w:rsid w:val="006E2A3A"/>
    <w:rsid w:val="006E2A88"/>
    <w:rsid w:val="006E2C67"/>
    <w:rsid w:val="006E3197"/>
    <w:rsid w:val="006E3851"/>
    <w:rsid w:val="006E3853"/>
    <w:rsid w:val="006E3B0E"/>
    <w:rsid w:val="006E3CBA"/>
    <w:rsid w:val="006E3DF5"/>
    <w:rsid w:val="006E3E42"/>
    <w:rsid w:val="006E4088"/>
    <w:rsid w:val="006E40C1"/>
    <w:rsid w:val="006E4128"/>
    <w:rsid w:val="006E426A"/>
    <w:rsid w:val="006E4871"/>
    <w:rsid w:val="006E4A87"/>
    <w:rsid w:val="006E5761"/>
    <w:rsid w:val="006E582F"/>
    <w:rsid w:val="006E59EA"/>
    <w:rsid w:val="006E5B14"/>
    <w:rsid w:val="006E6CD8"/>
    <w:rsid w:val="006E709F"/>
    <w:rsid w:val="006E732F"/>
    <w:rsid w:val="006E7929"/>
    <w:rsid w:val="006E7EA0"/>
    <w:rsid w:val="006F0051"/>
    <w:rsid w:val="006F09CE"/>
    <w:rsid w:val="006F0D52"/>
    <w:rsid w:val="006F0E20"/>
    <w:rsid w:val="006F13A5"/>
    <w:rsid w:val="006F1845"/>
    <w:rsid w:val="006F1BAB"/>
    <w:rsid w:val="006F1D31"/>
    <w:rsid w:val="006F1E8B"/>
    <w:rsid w:val="006F2077"/>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6033"/>
    <w:rsid w:val="006F6229"/>
    <w:rsid w:val="006F62BF"/>
    <w:rsid w:val="006F6400"/>
    <w:rsid w:val="006F67CB"/>
    <w:rsid w:val="006F69A5"/>
    <w:rsid w:val="006F6A77"/>
    <w:rsid w:val="006F7150"/>
    <w:rsid w:val="006F785E"/>
    <w:rsid w:val="006F7A48"/>
    <w:rsid w:val="006F7F79"/>
    <w:rsid w:val="00700206"/>
    <w:rsid w:val="007004A4"/>
    <w:rsid w:val="007008FA"/>
    <w:rsid w:val="00700A21"/>
    <w:rsid w:val="00700B85"/>
    <w:rsid w:val="00700C8A"/>
    <w:rsid w:val="00700D55"/>
    <w:rsid w:val="00700D7C"/>
    <w:rsid w:val="007013C0"/>
    <w:rsid w:val="0070195A"/>
    <w:rsid w:val="00701E91"/>
    <w:rsid w:val="0070216B"/>
    <w:rsid w:val="0070216C"/>
    <w:rsid w:val="007025A5"/>
    <w:rsid w:val="00702B7A"/>
    <w:rsid w:val="00703A93"/>
    <w:rsid w:val="00703E07"/>
    <w:rsid w:val="00704306"/>
    <w:rsid w:val="007043CB"/>
    <w:rsid w:val="007048A6"/>
    <w:rsid w:val="007050EF"/>
    <w:rsid w:val="007051F8"/>
    <w:rsid w:val="007059DF"/>
    <w:rsid w:val="00705E93"/>
    <w:rsid w:val="0070606B"/>
    <w:rsid w:val="00706811"/>
    <w:rsid w:val="007068E3"/>
    <w:rsid w:val="00706B5E"/>
    <w:rsid w:val="00707371"/>
    <w:rsid w:val="007079DE"/>
    <w:rsid w:val="00707A93"/>
    <w:rsid w:val="00710283"/>
    <w:rsid w:val="0071062D"/>
    <w:rsid w:val="0071098E"/>
    <w:rsid w:val="00710FE1"/>
    <w:rsid w:val="0071172A"/>
    <w:rsid w:val="00711A1A"/>
    <w:rsid w:val="00711B68"/>
    <w:rsid w:val="00711CD6"/>
    <w:rsid w:val="00711D15"/>
    <w:rsid w:val="00711FFD"/>
    <w:rsid w:val="0071268B"/>
    <w:rsid w:val="00713559"/>
    <w:rsid w:val="00713660"/>
    <w:rsid w:val="0071368B"/>
    <w:rsid w:val="007137AF"/>
    <w:rsid w:val="007137D1"/>
    <w:rsid w:val="007138CF"/>
    <w:rsid w:val="007143B7"/>
    <w:rsid w:val="0071495C"/>
    <w:rsid w:val="00715559"/>
    <w:rsid w:val="007156FF"/>
    <w:rsid w:val="0071581E"/>
    <w:rsid w:val="00715CA0"/>
    <w:rsid w:val="00715E49"/>
    <w:rsid w:val="00715EDA"/>
    <w:rsid w:val="00715F88"/>
    <w:rsid w:val="00716178"/>
    <w:rsid w:val="00716624"/>
    <w:rsid w:val="0071668C"/>
    <w:rsid w:val="00716F75"/>
    <w:rsid w:val="007172EE"/>
    <w:rsid w:val="007175F4"/>
    <w:rsid w:val="00717635"/>
    <w:rsid w:val="00717A0D"/>
    <w:rsid w:val="00717C81"/>
    <w:rsid w:val="00720284"/>
    <w:rsid w:val="00720382"/>
    <w:rsid w:val="00720790"/>
    <w:rsid w:val="00720BB0"/>
    <w:rsid w:val="00720F89"/>
    <w:rsid w:val="00720FA6"/>
    <w:rsid w:val="0072141E"/>
    <w:rsid w:val="007214E4"/>
    <w:rsid w:val="007214EF"/>
    <w:rsid w:val="00721613"/>
    <w:rsid w:val="00721FA5"/>
    <w:rsid w:val="00722BF2"/>
    <w:rsid w:val="00722F3B"/>
    <w:rsid w:val="007230A0"/>
    <w:rsid w:val="007233AF"/>
    <w:rsid w:val="007233CF"/>
    <w:rsid w:val="0072349E"/>
    <w:rsid w:val="007236DC"/>
    <w:rsid w:val="00723C31"/>
    <w:rsid w:val="00723EA4"/>
    <w:rsid w:val="00724288"/>
    <w:rsid w:val="0072475F"/>
    <w:rsid w:val="00724A92"/>
    <w:rsid w:val="00724D5D"/>
    <w:rsid w:val="00724EBC"/>
    <w:rsid w:val="0072518E"/>
    <w:rsid w:val="007259BD"/>
    <w:rsid w:val="00725E3F"/>
    <w:rsid w:val="00726406"/>
    <w:rsid w:val="00726FE6"/>
    <w:rsid w:val="00730ABC"/>
    <w:rsid w:val="00730B4A"/>
    <w:rsid w:val="00731407"/>
    <w:rsid w:val="00731565"/>
    <w:rsid w:val="007315E7"/>
    <w:rsid w:val="007315FF"/>
    <w:rsid w:val="007316A3"/>
    <w:rsid w:val="00731C11"/>
    <w:rsid w:val="00732144"/>
    <w:rsid w:val="00732217"/>
    <w:rsid w:val="00732600"/>
    <w:rsid w:val="00732712"/>
    <w:rsid w:val="00732F43"/>
    <w:rsid w:val="007330FE"/>
    <w:rsid w:val="00733258"/>
    <w:rsid w:val="0073393D"/>
    <w:rsid w:val="00733A97"/>
    <w:rsid w:val="0073479D"/>
    <w:rsid w:val="00734DFD"/>
    <w:rsid w:val="00734E23"/>
    <w:rsid w:val="0073518C"/>
    <w:rsid w:val="00735640"/>
    <w:rsid w:val="007358E1"/>
    <w:rsid w:val="00736733"/>
    <w:rsid w:val="0073673A"/>
    <w:rsid w:val="00736B97"/>
    <w:rsid w:val="00736DBB"/>
    <w:rsid w:val="007378B4"/>
    <w:rsid w:val="00737E2C"/>
    <w:rsid w:val="00740309"/>
    <w:rsid w:val="00740665"/>
    <w:rsid w:val="00740C4E"/>
    <w:rsid w:val="00740F26"/>
    <w:rsid w:val="00742203"/>
    <w:rsid w:val="00742AEE"/>
    <w:rsid w:val="00742B38"/>
    <w:rsid w:val="00742B41"/>
    <w:rsid w:val="00743544"/>
    <w:rsid w:val="00743BD9"/>
    <w:rsid w:val="00743F48"/>
    <w:rsid w:val="007440E9"/>
    <w:rsid w:val="007448DF"/>
    <w:rsid w:val="00744EA8"/>
    <w:rsid w:val="00745935"/>
    <w:rsid w:val="007464D5"/>
    <w:rsid w:val="00746B6A"/>
    <w:rsid w:val="00746FD3"/>
    <w:rsid w:val="007471CE"/>
    <w:rsid w:val="0074731A"/>
    <w:rsid w:val="007473E3"/>
    <w:rsid w:val="00747952"/>
    <w:rsid w:val="00747ABB"/>
    <w:rsid w:val="00747EC4"/>
    <w:rsid w:val="00747FC1"/>
    <w:rsid w:val="0075055D"/>
    <w:rsid w:val="0075064F"/>
    <w:rsid w:val="0075070A"/>
    <w:rsid w:val="007507DC"/>
    <w:rsid w:val="00750BD1"/>
    <w:rsid w:val="007510AE"/>
    <w:rsid w:val="007513A1"/>
    <w:rsid w:val="007517C6"/>
    <w:rsid w:val="00751975"/>
    <w:rsid w:val="00751D79"/>
    <w:rsid w:val="007521FF"/>
    <w:rsid w:val="007523E4"/>
    <w:rsid w:val="00752D03"/>
    <w:rsid w:val="00752DE4"/>
    <w:rsid w:val="00753293"/>
    <w:rsid w:val="00753C3F"/>
    <w:rsid w:val="00753CC9"/>
    <w:rsid w:val="00754034"/>
    <w:rsid w:val="0075427C"/>
    <w:rsid w:val="00754723"/>
    <w:rsid w:val="00754C5D"/>
    <w:rsid w:val="007556C7"/>
    <w:rsid w:val="00755803"/>
    <w:rsid w:val="007570EC"/>
    <w:rsid w:val="00757417"/>
    <w:rsid w:val="007577B5"/>
    <w:rsid w:val="007579EE"/>
    <w:rsid w:val="00757B4A"/>
    <w:rsid w:val="0076005F"/>
    <w:rsid w:val="007603C5"/>
    <w:rsid w:val="00760419"/>
    <w:rsid w:val="00760446"/>
    <w:rsid w:val="00760587"/>
    <w:rsid w:val="0076097B"/>
    <w:rsid w:val="00760A49"/>
    <w:rsid w:val="00760D3A"/>
    <w:rsid w:val="00761042"/>
    <w:rsid w:val="00761BD3"/>
    <w:rsid w:val="00761CDB"/>
    <w:rsid w:val="00762199"/>
    <w:rsid w:val="007622B3"/>
    <w:rsid w:val="0076309E"/>
    <w:rsid w:val="007633A8"/>
    <w:rsid w:val="00763414"/>
    <w:rsid w:val="00763642"/>
    <w:rsid w:val="0076445F"/>
    <w:rsid w:val="00764486"/>
    <w:rsid w:val="0076454B"/>
    <w:rsid w:val="00764918"/>
    <w:rsid w:val="007649D2"/>
    <w:rsid w:val="00765163"/>
    <w:rsid w:val="00765381"/>
    <w:rsid w:val="007654AE"/>
    <w:rsid w:val="00765713"/>
    <w:rsid w:val="0076581D"/>
    <w:rsid w:val="0076752E"/>
    <w:rsid w:val="00767565"/>
    <w:rsid w:val="007675DE"/>
    <w:rsid w:val="0077065D"/>
    <w:rsid w:val="0077088A"/>
    <w:rsid w:val="00770B83"/>
    <w:rsid w:val="00770DC8"/>
    <w:rsid w:val="00771069"/>
    <w:rsid w:val="00772100"/>
    <w:rsid w:val="007721B5"/>
    <w:rsid w:val="0077331E"/>
    <w:rsid w:val="007739AC"/>
    <w:rsid w:val="00773D8B"/>
    <w:rsid w:val="00773D9F"/>
    <w:rsid w:val="00773DB1"/>
    <w:rsid w:val="00773FB7"/>
    <w:rsid w:val="007744DE"/>
    <w:rsid w:val="00774618"/>
    <w:rsid w:val="00774B54"/>
    <w:rsid w:val="00774B5E"/>
    <w:rsid w:val="00774B94"/>
    <w:rsid w:val="00774DE4"/>
    <w:rsid w:val="00774F8F"/>
    <w:rsid w:val="0077509F"/>
    <w:rsid w:val="00775366"/>
    <w:rsid w:val="0077552E"/>
    <w:rsid w:val="00775EE3"/>
    <w:rsid w:val="00775FE2"/>
    <w:rsid w:val="007767DC"/>
    <w:rsid w:val="00776FC8"/>
    <w:rsid w:val="00780054"/>
    <w:rsid w:val="00780619"/>
    <w:rsid w:val="00780C75"/>
    <w:rsid w:val="00780DCC"/>
    <w:rsid w:val="007817B5"/>
    <w:rsid w:val="00781B50"/>
    <w:rsid w:val="00781C86"/>
    <w:rsid w:val="00781DEC"/>
    <w:rsid w:val="00781FB8"/>
    <w:rsid w:val="00782108"/>
    <w:rsid w:val="007827C7"/>
    <w:rsid w:val="00782B38"/>
    <w:rsid w:val="00782B8A"/>
    <w:rsid w:val="00783108"/>
    <w:rsid w:val="00783273"/>
    <w:rsid w:val="0078365D"/>
    <w:rsid w:val="007838CE"/>
    <w:rsid w:val="00783CFF"/>
    <w:rsid w:val="00783D91"/>
    <w:rsid w:val="00783E34"/>
    <w:rsid w:val="007846E7"/>
    <w:rsid w:val="00784852"/>
    <w:rsid w:val="007848E4"/>
    <w:rsid w:val="00784D5B"/>
    <w:rsid w:val="00785427"/>
    <w:rsid w:val="007868B3"/>
    <w:rsid w:val="00786926"/>
    <w:rsid w:val="00786946"/>
    <w:rsid w:val="00786B61"/>
    <w:rsid w:val="00787406"/>
    <w:rsid w:val="007877D6"/>
    <w:rsid w:val="007878A9"/>
    <w:rsid w:val="0078795C"/>
    <w:rsid w:val="00787A1A"/>
    <w:rsid w:val="00787CD1"/>
    <w:rsid w:val="00787D88"/>
    <w:rsid w:val="007902F4"/>
    <w:rsid w:val="00790848"/>
    <w:rsid w:val="0079099A"/>
    <w:rsid w:val="00790AE5"/>
    <w:rsid w:val="00790E66"/>
    <w:rsid w:val="00791151"/>
    <w:rsid w:val="007911A4"/>
    <w:rsid w:val="00791C9A"/>
    <w:rsid w:val="00792938"/>
    <w:rsid w:val="00792BF6"/>
    <w:rsid w:val="00792DAD"/>
    <w:rsid w:val="00792E9A"/>
    <w:rsid w:val="00793099"/>
    <w:rsid w:val="007934EC"/>
    <w:rsid w:val="00793791"/>
    <w:rsid w:val="007938D0"/>
    <w:rsid w:val="00793A57"/>
    <w:rsid w:val="00794D39"/>
    <w:rsid w:val="00794E5C"/>
    <w:rsid w:val="00794EF4"/>
    <w:rsid w:val="00794FA3"/>
    <w:rsid w:val="007951CD"/>
    <w:rsid w:val="007952E3"/>
    <w:rsid w:val="007956DE"/>
    <w:rsid w:val="00796317"/>
    <w:rsid w:val="00796397"/>
    <w:rsid w:val="00796666"/>
    <w:rsid w:val="00796807"/>
    <w:rsid w:val="00796CD0"/>
    <w:rsid w:val="0079709B"/>
    <w:rsid w:val="007977D2"/>
    <w:rsid w:val="00797CB0"/>
    <w:rsid w:val="007A0B1C"/>
    <w:rsid w:val="007A0CCB"/>
    <w:rsid w:val="007A13F6"/>
    <w:rsid w:val="007A14C5"/>
    <w:rsid w:val="007A1511"/>
    <w:rsid w:val="007A2ABF"/>
    <w:rsid w:val="007A3144"/>
    <w:rsid w:val="007A328F"/>
    <w:rsid w:val="007A5377"/>
    <w:rsid w:val="007A53A9"/>
    <w:rsid w:val="007A591A"/>
    <w:rsid w:val="007A5C67"/>
    <w:rsid w:val="007A62E1"/>
    <w:rsid w:val="007A746B"/>
    <w:rsid w:val="007A7CEA"/>
    <w:rsid w:val="007A7F2F"/>
    <w:rsid w:val="007B025C"/>
    <w:rsid w:val="007B0BE7"/>
    <w:rsid w:val="007B0FEE"/>
    <w:rsid w:val="007B1503"/>
    <w:rsid w:val="007B1761"/>
    <w:rsid w:val="007B19B2"/>
    <w:rsid w:val="007B1CEE"/>
    <w:rsid w:val="007B1D5A"/>
    <w:rsid w:val="007B1ED4"/>
    <w:rsid w:val="007B2413"/>
    <w:rsid w:val="007B2EA6"/>
    <w:rsid w:val="007B2F81"/>
    <w:rsid w:val="007B384C"/>
    <w:rsid w:val="007B3D2E"/>
    <w:rsid w:val="007B3E14"/>
    <w:rsid w:val="007B4042"/>
    <w:rsid w:val="007B4257"/>
    <w:rsid w:val="007B496D"/>
    <w:rsid w:val="007B555D"/>
    <w:rsid w:val="007B557E"/>
    <w:rsid w:val="007B568B"/>
    <w:rsid w:val="007B5B38"/>
    <w:rsid w:val="007B5C8C"/>
    <w:rsid w:val="007B60D5"/>
    <w:rsid w:val="007B6147"/>
    <w:rsid w:val="007B6541"/>
    <w:rsid w:val="007B6946"/>
    <w:rsid w:val="007B72D6"/>
    <w:rsid w:val="007B7928"/>
    <w:rsid w:val="007B7CA2"/>
    <w:rsid w:val="007B7D91"/>
    <w:rsid w:val="007B7FF2"/>
    <w:rsid w:val="007C0246"/>
    <w:rsid w:val="007C0530"/>
    <w:rsid w:val="007C05B6"/>
    <w:rsid w:val="007C0977"/>
    <w:rsid w:val="007C0B7B"/>
    <w:rsid w:val="007C1019"/>
    <w:rsid w:val="007C1997"/>
    <w:rsid w:val="007C1A19"/>
    <w:rsid w:val="007C1E74"/>
    <w:rsid w:val="007C2913"/>
    <w:rsid w:val="007C2A2F"/>
    <w:rsid w:val="007C3023"/>
    <w:rsid w:val="007C34DF"/>
    <w:rsid w:val="007C3CF4"/>
    <w:rsid w:val="007C42E3"/>
    <w:rsid w:val="007C4C91"/>
    <w:rsid w:val="007C52FD"/>
    <w:rsid w:val="007C5CB6"/>
    <w:rsid w:val="007C6114"/>
    <w:rsid w:val="007C635E"/>
    <w:rsid w:val="007C6533"/>
    <w:rsid w:val="007C6E13"/>
    <w:rsid w:val="007C6E71"/>
    <w:rsid w:val="007C6ED6"/>
    <w:rsid w:val="007C79F8"/>
    <w:rsid w:val="007D0AB3"/>
    <w:rsid w:val="007D1183"/>
    <w:rsid w:val="007D1E44"/>
    <w:rsid w:val="007D2DC7"/>
    <w:rsid w:val="007D3075"/>
    <w:rsid w:val="007D32A8"/>
    <w:rsid w:val="007D33F8"/>
    <w:rsid w:val="007D3618"/>
    <w:rsid w:val="007D3A5D"/>
    <w:rsid w:val="007D4C66"/>
    <w:rsid w:val="007D4FC6"/>
    <w:rsid w:val="007D5305"/>
    <w:rsid w:val="007D56ED"/>
    <w:rsid w:val="007D571C"/>
    <w:rsid w:val="007D58EB"/>
    <w:rsid w:val="007D5911"/>
    <w:rsid w:val="007D5E8D"/>
    <w:rsid w:val="007D6BFA"/>
    <w:rsid w:val="007D6DB9"/>
    <w:rsid w:val="007D6E9B"/>
    <w:rsid w:val="007D6F7C"/>
    <w:rsid w:val="007D728B"/>
    <w:rsid w:val="007D72F8"/>
    <w:rsid w:val="007D7590"/>
    <w:rsid w:val="007D7877"/>
    <w:rsid w:val="007D792E"/>
    <w:rsid w:val="007D7CFF"/>
    <w:rsid w:val="007D7DF9"/>
    <w:rsid w:val="007D7EF1"/>
    <w:rsid w:val="007E0122"/>
    <w:rsid w:val="007E03E7"/>
    <w:rsid w:val="007E0A66"/>
    <w:rsid w:val="007E0E91"/>
    <w:rsid w:val="007E1251"/>
    <w:rsid w:val="007E140F"/>
    <w:rsid w:val="007E1A8E"/>
    <w:rsid w:val="007E2098"/>
    <w:rsid w:val="007E3375"/>
    <w:rsid w:val="007E36D1"/>
    <w:rsid w:val="007E3A98"/>
    <w:rsid w:val="007E3DD7"/>
    <w:rsid w:val="007E40A9"/>
    <w:rsid w:val="007E40B5"/>
    <w:rsid w:val="007E40F7"/>
    <w:rsid w:val="007E4136"/>
    <w:rsid w:val="007E4173"/>
    <w:rsid w:val="007E41B5"/>
    <w:rsid w:val="007E48EF"/>
    <w:rsid w:val="007E49DB"/>
    <w:rsid w:val="007E52EA"/>
    <w:rsid w:val="007E56BC"/>
    <w:rsid w:val="007E59A4"/>
    <w:rsid w:val="007E5AA0"/>
    <w:rsid w:val="007E5FDA"/>
    <w:rsid w:val="007E60FB"/>
    <w:rsid w:val="007E6657"/>
    <w:rsid w:val="007E6C1D"/>
    <w:rsid w:val="007E6E85"/>
    <w:rsid w:val="007E7295"/>
    <w:rsid w:val="007E737D"/>
    <w:rsid w:val="007E7AC9"/>
    <w:rsid w:val="007E7F70"/>
    <w:rsid w:val="007F05D0"/>
    <w:rsid w:val="007F0677"/>
    <w:rsid w:val="007F07A1"/>
    <w:rsid w:val="007F0AD0"/>
    <w:rsid w:val="007F1D81"/>
    <w:rsid w:val="007F1F1D"/>
    <w:rsid w:val="007F21F0"/>
    <w:rsid w:val="007F27D0"/>
    <w:rsid w:val="007F29B7"/>
    <w:rsid w:val="007F2A7E"/>
    <w:rsid w:val="007F2AC7"/>
    <w:rsid w:val="007F2ADD"/>
    <w:rsid w:val="007F30A7"/>
    <w:rsid w:val="007F32D6"/>
    <w:rsid w:val="007F35C8"/>
    <w:rsid w:val="007F379F"/>
    <w:rsid w:val="007F3C35"/>
    <w:rsid w:val="007F3C36"/>
    <w:rsid w:val="007F3E21"/>
    <w:rsid w:val="007F3F80"/>
    <w:rsid w:val="007F44F7"/>
    <w:rsid w:val="007F4AAC"/>
    <w:rsid w:val="007F4FB7"/>
    <w:rsid w:val="007F5125"/>
    <w:rsid w:val="007F522A"/>
    <w:rsid w:val="007F52D1"/>
    <w:rsid w:val="007F5357"/>
    <w:rsid w:val="007F5483"/>
    <w:rsid w:val="007F5638"/>
    <w:rsid w:val="007F57A5"/>
    <w:rsid w:val="007F58BD"/>
    <w:rsid w:val="007F5AF9"/>
    <w:rsid w:val="007F60D4"/>
    <w:rsid w:val="007F61EA"/>
    <w:rsid w:val="007F6407"/>
    <w:rsid w:val="007F653B"/>
    <w:rsid w:val="007F67A1"/>
    <w:rsid w:val="007F705A"/>
    <w:rsid w:val="0080030E"/>
    <w:rsid w:val="00800A8F"/>
    <w:rsid w:val="00800C1E"/>
    <w:rsid w:val="00800C9C"/>
    <w:rsid w:val="00800DB8"/>
    <w:rsid w:val="00801536"/>
    <w:rsid w:val="008019E4"/>
    <w:rsid w:val="00801DE1"/>
    <w:rsid w:val="00801EAB"/>
    <w:rsid w:val="00802541"/>
    <w:rsid w:val="008028DF"/>
    <w:rsid w:val="00803A0E"/>
    <w:rsid w:val="00803DB3"/>
    <w:rsid w:val="008042E0"/>
    <w:rsid w:val="00804A61"/>
    <w:rsid w:val="00805042"/>
    <w:rsid w:val="0080519E"/>
    <w:rsid w:val="0080611A"/>
    <w:rsid w:val="008061CA"/>
    <w:rsid w:val="00806636"/>
    <w:rsid w:val="00806AED"/>
    <w:rsid w:val="008071BF"/>
    <w:rsid w:val="008074B3"/>
    <w:rsid w:val="00807536"/>
    <w:rsid w:val="00807AE4"/>
    <w:rsid w:val="00807DD3"/>
    <w:rsid w:val="00810591"/>
    <w:rsid w:val="00810A26"/>
    <w:rsid w:val="00810A80"/>
    <w:rsid w:val="00810FD9"/>
    <w:rsid w:val="008110FE"/>
    <w:rsid w:val="00811350"/>
    <w:rsid w:val="00811F60"/>
    <w:rsid w:val="00812001"/>
    <w:rsid w:val="008129CE"/>
    <w:rsid w:val="00812AEC"/>
    <w:rsid w:val="0081321A"/>
    <w:rsid w:val="008132F7"/>
    <w:rsid w:val="008141ED"/>
    <w:rsid w:val="008149E2"/>
    <w:rsid w:val="00814A39"/>
    <w:rsid w:val="00814B96"/>
    <w:rsid w:val="00814FB9"/>
    <w:rsid w:val="00815277"/>
    <w:rsid w:val="008155AC"/>
    <w:rsid w:val="008158DB"/>
    <w:rsid w:val="00815AAF"/>
    <w:rsid w:val="00815C1C"/>
    <w:rsid w:val="00816389"/>
    <w:rsid w:val="008163F5"/>
    <w:rsid w:val="008165F1"/>
    <w:rsid w:val="00816BDB"/>
    <w:rsid w:val="00816E15"/>
    <w:rsid w:val="00817762"/>
    <w:rsid w:val="00817ABE"/>
    <w:rsid w:val="0082052C"/>
    <w:rsid w:val="0082062A"/>
    <w:rsid w:val="00820AF7"/>
    <w:rsid w:val="00820B1A"/>
    <w:rsid w:val="00821038"/>
    <w:rsid w:val="008213F4"/>
    <w:rsid w:val="008216FE"/>
    <w:rsid w:val="00821E53"/>
    <w:rsid w:val="008224ED"/>
    <w:rsid w:val="0082267F"/>
    <w:rsid w:val="008228ED"/>
    <w:rsid w:val="00822C4C"/>
    <w:rsid w:val="008238B5"/>
    <w:rsid w:val="00823E32"/>
    <w:rsid w:val="00824104"/>
    <w:rsid w:val="00824225"/>
    <w:rsid w:val="00824685"/>
    <w:rsid w:val="00824C1E"/>
    <w:rsid w:val="00824DB6"/>
    <w:rsid w:val="008253E8"/>
    <w:rsid w:val="00825878"/>
    <w:rsid w:val="008265A0"/>
    <w:rsid w:val="00826C9B"/>
    <w:rsid w:val="00826EA0"/>
    <w:rsid w:val="00826EFD"/>
    <w:rsid w:val="0082707E"/>
    <w:rsid w:val="0082712B"/>
    <w:rsid w:val="00827594"/>
    <w:rsid w:val="008277AC"/>
    <w:rsid w:val="00827E60"/>
    <w:rsid w:val="00827FD9"/>
    <w:rsid w:val="0083040D"/>
    <w:rsid w:val="008308EC"/>
    <w:rsid w:val="008309D4"/>
    <w:rsid w:val="00831190"/>
    <w:rsid w:val="0083141B"/>
    <w:rsid w:val="00831538"/>
    <w:rsid w:val="00831BAB"/>
    <w:rsid w:val="00831D6F"/>
    <w:rsid w:val="008321EB"/>
    <w:rsid w:val="00832210"/>
    <w:rsid w:val="008322BD"/>
    <w:rsid w:val="0083296C"/>
    <w:rsid w:val="00832CEF"/>
    <w:rsid w:val="00832D93"/>
    <w:rsid w:val="008335C1"/>
    <w:rsid w:val="008335C4"/>
    <w:rsid w:val="00833BC2"/>
    <w:rsid w:val="00833C6A"/>
    <w:rsid w:val="00833C8F"/>
    <w:rsid w:val="00833DD5"/>
    <w:rsid w:val="00833E43"/>
    <w:rsid w:val="00833F26"/>
    <w:rsid w:val="008343BF"/>
    <w:rsid w:val="0083473B"/>
    <w:rsid w:val="00834B68"/>
    <w:rsid w:val="0083586F"/>
    <w:rsid w:val="00835BA1"/>
    <w:rsid w:val="00836534"/>
    <w:rsid w:val="0083683B"/>
    <w:rsid w:val="008368E6"/>
    <w:rsid w:val="00836A41"/>
    <w:rsid w:val="008372EF"/>
    <w:rsid w:val="00837417"/>
    <w:rsid w:val="00837BDA"/>
    <w:rsid w:val="008405EC"/>
    <w:rsid w:val="00840B96"/>
    <w:rsid w:val="00840D15"/>
    <w:rsid w:val="00841551"/>
    <w:rsid w:val="00841D0A"/>
    <w:rsid w:val="00841FC9"/>
    <w:rsid w:val="0084204E"/>
    <w:rsid w:val="008423A0"/>
    <w:rsid w:val="008428EC"/>
    <w:rsid w:val="00843159"/>
    <w:rsid w:val="008432CB"/>
    <w:rsid w:val="00843451"/>
    <w:rsid w:val="00843534"/>
    <w:rsid w:val="00843895"/>
    <w:rsid w:val="008443B8"/>
    <w:rsid w:val="008443F5"/>
    <w:rsid w:val="00844C43"/>
    <w:rsid w:val="00844FD6"/>
    <w:rsid w:val="00845077"/>
    <w:rsid w:val="008451AE"/>
    <w:rsid w:val="00845DD4"/>
    <w:rsid w:val="008466F0"/>
    <w:rsid w:val="00846FE0"/>
    <w:rsid w:val="00847557"/>
    <w:rsid w:val="008475CC"/>
    <w:rsid w:val="00847861"/>
    <w:rsid w:val="008478FA"/>
    <w:rsid w:val="00847AB0"/>
    <w:rsid w:val="00847B20"/>
    <w:rsid w:val="00847E2B"/>
    <w:rsid w:val="00847FA8"/>
    <w:rsid w:val="008501D1"/>
    <w:rsid w:val="008507F3"/>
    <w:rsid w:val="0085142B"/>
    <w:rsid w:val="00851EB2"/>
    <w:rsid w:val="00852B1F"/>
    <w:rsid w:val="00852BE3"/>
    <w:rsid w:val="00852C5A"/>
    <w:rsid w:val="00852F5B"/>
    <w:rsid w:val="00852FFD"/>
    <w:rsid w:val="0085364F"/>
    <w:rsid w:val="00853EB6"/>
    <w:rsid w:val="0085423A"/>
    <w:rsid w:val="008544FA"/>
    <w:rsid w:val="0085452F"/>
    <w:rsid w:val="00855272"/>
    <w:rsid w:val="00855695"/>
    <w:rsid w:val="00855974"/>
    <w:rsid w:val="0085629B"/>
    <w:rsid w:val="00856A2C"/>
    <w:rsid w:val="008571BA"/>
    <w:rsid w:val="008571D4"/>
    <w:rsid w:val="008603D3"/>
    <w:rsid w:val="0086069F"/>
    <w:rsid w:val="008606FD"/>
    <w:rsid w:val="00861073"/>
    <w:rsid w:val="008613EF"/>
    <w:rsid w:val="00861607"/>
    <w:rsid w:val="00861B9A"/>
    <w:rsid w:val="00861FA0"/>
    <w:rsid w:val="00862196"/>
    <w:rsid w:val="0086219E"/>
    <w:rsid w:val="00862E1F"/>
    <w:rsid w:val="00862E50"/>
    <w:rsid w:val="0086371F"/>
    <w:rsid w:val="008638A7"/>
    <w:rsid w:val="00863B22"/>
    <w:rsid w:val="00863D57"/>
    <w:rsid w:val="0086407F"/>
    <w:rsid w:val="008641F8"/>
    <w:rsid w:val="00864468"/>
    <w:rsid w:val="008644B7"/>
    <w:rsid w:val="008645AF"/>
    <w:rsid w:val="008647F9"/>
    <w:rsid w:val="008649A5"/>
    <w:rsid w:val="00864ACE"/>
    <w:rsid w:val="008650F8"/>
    <w:rsid w:val="00865184"/>
    <w:rsid w:val="00865986"/>
    <w:rsid w:val="008659A2"/>
    <w:rsid w:val="00865C94"/>
    <w:rsid w:val="00866000"/>
    <w:rsid w:val="00866416"/>
    <w:rsid w:val="00866552"/>
    <w:rsid w:val="00866D2E"/>
    <w:rsid w:val="00867E75"/>
    <w:rsid w:val="00870206"/>
    <w:rsid w:val="008702EE"/>
    <w:rsid w:val="00870394"/>
    <w:rsid w:val="0087039F"/>
    <w:rsid w:val="008703C2"/>
    <w:rsid w:val="008707D7"/>
    <w:rsid w:val="00870D61"/>
    <w:rsid w:val="00871623"/>
    <w:rsid w:val="00871632"/>
    <w:rsid w:val="00871931"/>
    <w:rsid w:val="00871AD6"/>
    <w:rsid w:val="00871D31"/>
    <w:rsid w:val="00871F02"/>
    <w:rsid w:val="00871F3D"/>
    <w:rsid w:val="00872665"/>
    <w:rsid w:val="00872742"/>
    <w:rsid w:val="00872AC1"/>
    <w:rsid w:val="00872D48"/>
    <w:rsid w:val="00872DA4"/>
    <w:rsid w:val="00872F38"/>
    <w:rsid w:val="008736C5"/>
    <w:rsid w:val="00873BEA"/>
    <w:rsid w:val="00873E02"/>
    <w:rsid w:val="00873E22"/>
    <w:rsid w:val="0087437D"/>
    <w:rsid w:val="008747AE"/>
    <w:rsid w:val="00875203"/>
    <w:rsid w:val="00875386"/>
    <w:rsid w:val="00875A11"/>
    <w:rsid w:val="00875F6E"/>
    <w:rsid w:val="00876132"/>
    <w:rsid w:val="00876C64"/>
    <w:rsid w:val="00877275"/>
    <w:rsid w:val="008776C0"/>
    <w:rsid w:val="0087782A"/>
    <w:rsid w:val="0087788D"/>
    <w:rsid w:val="00877F62"/>
    <w:rsid w:val="0087BD21"/>
    <w:rsid w:val="008800E4"/>
    <w:rsid w:val="008805A1"/>
    <w:rsid w:val="00880751"/>
    <w:rsid w:val="00880B7D"/>
    <w:rsid w:val="00880F8D"/>
    <w:rsid w:val="00881759"/>
    <w:rsid w:val="00881A26"/>
    <w:rsid w:val="00881B56"/>
    <w:rsid w:val="00881CA0"/>
    <w:rsid w:val="00881F0F"/>
    <w:rsid w:val="00882100"/>
    <w:rsid w:val="00882C60"/>
    <w:rsid w:val="0088356A"/>
    <w:rsid w:val="008836FB"/>
    <w:rsid w:val="0088384B"/>
    <w:rsid w:val="00883DE9"/>
    <w:rsid w:val="00884F69"/>
    <w:rsid w:val="008857FA"/>
    <w:rsid w:val="00886C14"/>
    <w:rsid w:val="008870DF"/>
    <w:rsid w:val="00887335"/>
    <w:rsid w:val="00887454"/>
    <w:rsid w:val="008879E9"/>
    <w:rsid w:val="00887AA1"/>
    <w:rsid w:val="00887C90"/>
    <w:rsid w:val="00890195"/>
    <w:rsid w:val="00890845"/>
    <w:rsid w:val="00890C9A"/>
    <w:rsid w:val="00890CC6"/>
    <w:rsid w:val="00890E3C"/>
    <w:rsid w:val="0089182C"/>
    <w:rsid w:val="008919DB"/>
    <w:rsid w:val="00891A2C"/>
    <w:rsid w:val="00891A9E"/>
    <w:rsid w:val="00891B71"/>
    <w:rsid w:val="008927A0"/>
    <w:rsid w:val="00892B01"/>
    <w:rsid w:val="00892C64"/>
    <w:rsid w:val="008934A9"/>
    <w:rsid w:val="0089379D"/>
    <w:rsid w:val="0089430E"/>
    <w:rsid w:val="00894754"/>
    <w:rsid w:val="008948C7"/>
    <w:rsid w:val="00894D47"/>
    <w:rsid w:val="00894FDB"/>
    <w:rsid w:val="00895C26"/>
    <w:rsid w:val="00896458"/>
    <w:rsid w:val="00896626"/>
    <w:rsid w:val="008966D4"/>
    <w:rsid w:val="00896798"/>
    <w:rsid w:val="00896813"/>
    <w:rsid w:val="008968AE"/>
    <w:rsid w:val="0089737D"/>
    <w:rsid w:val="008976A4"/>
    <w:rsid w:val="00897773"/>
    <w:rsid w:val="00897F6C"/>
    <w:rsid w:val="008A044A"/>
    <w:rsid w:val="008A048B"/>
    <w:rsid w:val="008A0C8F"/>
    <w:rsid w:val="008A0E37"/>
    <w:rsid w:val="008A1015"/>
    <w:rsid w:val="008A11E1"/>
    <w:rsid w:val="008A1B63"/>
    <w:rsid w:val="008A2447"/>
    <w:rsid w:val="008A2AA2"/>
    <w:rsid w:val="008A329D"/>
    <w:rsid w:val="008A347C"/>
    <w:rsid w:val="008A3645"/>
    <w:rsid w:val="008A40B2"/>
    <w:rsid w:val="008A4316"/>
    <w:rsid w:val="008A49F4"/>
    <w:rsid w:val="008A5C8C"/>
    <w:rsid w:val="008A5E27"/>
    <w:rsid w:val="008A6548"/>
    <w:rsid w:val="008A6833"/>
    <w:rsid w:val="008A690C"/>
    <w:rsid w:val="008A6C89"/>
    <w:rsid w:val="008A7A01"/>
    <w:rsid w:val="008B0047"/>
    <w:rsid w:val="008B0690"/>
    <w:rsid w:val="008B0B61"/>
    <w:rsid w:val="008B0E4B"/>
    <w:rsid w:val="008B0F0C"/>
    <w:rsid w:val="008B1A12"/>
    <w:rsid w:val="008B2137"/>
    <w:rsid w:val="008B288C"/>
    <w:rsid w:val="008B2C36"/>
    <w:rsid w:val="008B3177"/>
    <w:rsid w:val="008B32B0"/>
    <w:rsid w:val="008B3690"/>
    <w:rsid w:val="008B3C2C"/>
    <w:rsid w:val="008B3CF0"/>
    <w:rsid w:val="008B3FC5"/>
    <w:rsid w:val="008B44D3"/>
    <w:rsid w:val="008B509D"/>
    <w:rsid w:val="008B5186"/>
    <w:rsid w:val="008B51DB"/>
    <w:rsid w:val="008B52C3"/>
    <w:rsid w:val="008B55F8"/>
    <w:rsid w:val="008B6670"/>
    <w:rsid w:val="008B681D"/>
    <w:rsid w:val="008B693A"/>
    <w:rsid w:val="008B6FC1"/>
    <w:rsid w:val="008B74FA"/>
    <w:rsid w:val="008B76AE"/>
    <w:rsid w:val="008B78C2"/>
    <w:rsid w:val="008B79FB"/>
    <w:rsid w:val="008B7F96"/>
    <w:rsid w:val="008C00DB"/>
    <w:rsid w:val="008C0DC2"/>
    <w:rsid w:val="008C183A"/>
    <w:rsid w:val="008C19AB"/>
    <w:rsid w:val="008C2511"/>
    <w:rsid w:val="008C27C6"/>
    <w:rsid w:val="008C2896"/>
    <w:rsid w:val="008C2B4F"/>
    <w:rsid w:val="008C2EDC"/>
    <w:rsid w:val="008C335A"/>
    <w:rsid w:val="008C33EC"/>
    <w:rsid w:val="008C3B37"/>
    <w:rsid w:val="008C3F68"/>
    <w:rsid w:val="008C427F"/>
    <w:rsid w:val="008C48A1"/>
    <w:rsid w:val="008C4BD6"/>
    <w:rsid w:val="008C5103"/>
    <w:rsid w:val="008C527C"/>
    <w:rsid w:val="008C5646"/>
    <w:rsid w:val="008C5737"/>
    <w:rsid w:val="008C5DA0"/>
    <w:rsid w:val="008C6272"/>
    <w:rsid w:val="008C65EB"/>
    <w:rsid w:val="008C677D"/>
    <w:rsid w:val="008C6C80"/>
    <w:rsid w:val="008C6F0C"/>
    <w:rsid w:val="008C70F7"/>
    <w:rsid w:val="008C72AA"/>
    <w:rsid w:val="008C74EA"/>
    <w:rsid w:val="008C74F5"/>
    <w:rsid w:val="008C7547"/>
    <w:rsid w:val="008D0101"/>
    <w:rsid w:val="008D0566"/>
    <w:rsid w:val="008D08E6"/>
    <w:rsid w:val="008D0A6E"/>
    <w:rsid w:val="008D0E81"/>
    <w:rsid w:val="008D1705"/>
    <w:rsid w:val="008D1A2D"/>
    <w:rsid w:val="008D1CF3"/>
    <w:rsid w:val="008D1EBA"/>
    <w:rsid w:val="008D2033"/>
    <w:rsid w:val="008D2FB7"/>
    <w:rsid w:val="008D338C"/>
    <w:rsid w:val="008D390F"/>
    <w:rsid w:val="008D486A"/>
    <w:rsid w:val="008D4DBF"/>
    <w:rsid w:val="008D52DE"/>
    <w:rsid w:val="008D552A"/>
    <w:rsid w:val="008D582F"/>
    <w:rsid w:val="008D6A1D"/>
    <w:rsid w:val="008D6E8C"/>
    <w:rsid w:val="008D7547"/>
    <w:rsid w:val="008D78A2"/>
    <w:rsid w:val="008E019F"/>
    <w:rsid w:val="008E0D6F"/>
    <w:rsid w:val="008E12EE"/>
    <w:rsid w:val="008E1554"/>
    <w:rsid w:val="008E1835"/>
    <w:rsid w:val="008E1B6D"/>
    <w:rsid w:val="008E1EFA"/>
    <w:rsid w:val="008E21CB"/>
    <w:rsid w:val="008E251A"/>
    <w:rsid w:val="008E27C2"/>
    <w:rsid w:val="008E3106"/>
    <w:rsid w:val="008E31DD"/>
    <w:rsid w:val="008E3490"/>
    <w:rsid w:val="008E355F"/>
    <w:rsid w:val="008E4727"/>
    <w:rsid w:val="008E4FB3"/>
    <w:rsid w:val="008E5310"/>
    <w:rsid w:val="008E5C1F"/>
    <w:rsid w:val="008E5C60"/>
    <w:rsid w:val="008E5CD6"/>
    <w:rsid w:val="008E5D28"/>
    <w:rsid w:val="008E6D2F"/>
    <w:rsid w:val="008E7428"/>
    <w:rsid w:val="008E7842"/>
    <w:rsid w:val="008F0413"/>
    <w:rsid w:val="008F0894"/>
    <w:rsid w:val="008F08EA"/>
    <w:rsid w:val="008F0A25"/>
    <w:rsid w:val="008F0C64"/>
    <w:rsid w:val="008F0EBC"/>
    <w:rsid w:val="008F1069"/>
    <w:rsid w:val="008F14C0"/>
    <w:rsid w:val="008F165E"/>
    <w:rsid w:val="008F17B9"/>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48C1"/>
    <w:rsid w:val="008F5291"/>
    <w:rsid w:val="008F5693"/>
    <w:rsid w:val="008F5733"/>
    <w:rsid w:val="008F5E11"/>
    <w:rsid w:val="008F5F49"/>
    <w:rsid w:val="008F6495"/>
    <w:rsid w:val="008F665F"/>
    <w:rsid w:val="008F68B9"/>
    <w:rsid w:val="008F6AF9"/>
    <w:rsid w:val="008F6FAB"/>
    <w:rsid w:val="008F6FFA"/>
    <w:rsid w:val="008F7176"/>
    <w:rsid w:val="008F71AD"/>
    <w:rsid w:val="008F79D0"/>
    <w:rsid w:val="008F7B3D"/>
    <w:rsid w:val="008F7B8A"/>
    <w:rsid w:val="008F7F77"/>
    <w:rsid w:val="00900031"/>
    <w:rsid w:val="009001AC"/>
    <w:rsid w:val="009011B2"/>
    <w:rsid w:val="00901804"/>
    <w:rsid w:val="00901C95"/>
    <w:rsid w:val="00901CCD"/>
    <w:rsid w:val="00902441"/>
    <w:rsid w:val="00902512"/>
    <w:rsid w:val="00902C1B"/>
    <w:rsid w:val="00902CA5"/>
    <w:rsid w:val="00902DE3"/>
    <w:rsid w:val="00902E76"/>
    <w:rsid w:val="00902F28"/>
    <w:rsid w:val="0090383A"/>
    <w:rsid w:val="0090403D"/>
    <w:rsid w:val="00904182"/>
    <w:rsid w:val="009046BA"/>
    <w:rsid w:val="00904D59"/>
    <w:rsid w:val="009053D8"/>
    <w:rsid w:val="00905A72"/>
    <w:rsid w:val="00905FEF"/>
    <w:rsid w:val="00906AF7"/>
    <w:rsid w:val="00906B34"/>
    <w:rsid w:val="00906F14"/>
    <w:rsid w:val="00907201"/>
    <w:rsid w:val="009078F9"/>
    <w:rsid w:val="00907B1B"/>
    <w:rsid w:val="00907C61"/>
    <w:rsid w:val="00907D58"/>
    <w:rsid w:val="00910320"/>
    <w:rsid w:val="0091033D"/>
    <w:rsid w:val="0091089B"/>
    <w:rsid w:val="00910BED"/>
    <w:rsid w:val="00910E9A"/>
    <w:rsid w:val="00910F27"/>
    <w:rsid w:val="0091104D"/>
    <w:rsid w:val="0091140F"/>
    <w:rsid w:val="00911829"/>
    <w:rsid w:val="00911D16"/>
    <w:rsid w:val="00912142"/>
    <w:rsid w:val="00912D53"/>
    <w:rsid w:val="00912D5B"/>
    <w:rsid w:val="00912DA1"/>
    <w:rsid w:val="009132ED"/>
    <w:rsid w:val="00913747"/>
    <w:rsid w:val="00913935"/>
    <w:rsid w:val="00913A83"/>
    <w:rsid w:val="00913AFF"/>
    <w:rsid w:val="00913CF3"/>
    <w:rsid w:val="00913E1F"/>
    <w:rsid w:val="009141F1"/>
    <w:rsid w:val="00914D57"/>
    <w:rsid w:val="00914E41"/>
    <w:rsid w:val="00914F84"/>
    <w:rsid w:val="0091550C"/>
    <w:rsid w:val="00915AE4"/>
    <w:rsid w:val="00915C10"/>
    <w:rsid w:val="009160C7"/>
    <w:rsid w:val="00916406"/>
    <w:rsid w:val="00916D52"/>
    <w:rsid w:val="00917315"/>
    <w:rsid w:val="0091735E"/>
    <w:rsid w:val="00920360"/>
    <w:rsid w:val="009205D3"/>
    <w:rsid w:val="009206D3"/>
    <w:rsid w:val="00920B6B"/>
    <w:rsid w:val="009211C1"/>
    <w:rsid w:val="009213BC"/>
    <w:rsid w:val="00921B4A"/>
    <w:rsid w:val="0092262A"/>
    <w:rsid w:val="00922A16"/>
    <w:rsid w:val="00923759"/>
    <w:rsid w:val="00923C81"/>
    <w:rsid w:val="00924623"/>
    <w:rsid w:val="00924B91"/>
    <w:rsid w:val="00924D3D"/>
    <w:rsid w:val="00924E54"/>
    <w:rsid w:val="00925CE2"/>
    <w:rsid w:val="00925FB8"/>
    <w:rsid w:val="00926656"/>
    <w:rsid w:val="00926EA2"/>
    <w:rsid w:val="0092702A"/>
    <w:rsid w:val="00927CDF"/>
    <w:rsid w:val="00930051"/>
    <w:rsid w:val="00930339"/>
    <w:rsid w:val="00930493"/>
    <w:rsid w:val="00930E13"/>
    <w:rsid w:val="0093110D"/>
    <w:rsid w:val="0093143C"/>
    <w:rsid w:val="0093185E"/>
    <w:rsid w:val="00931B33"/>
    <w:rsid w:val="00931BBC"/>
    <w:rsid w:val="00931E21"/>
    <w:rsid w:val="00932776"/>
    <w:rsid w:val="00932EF0"/>
    <w:rsid w:val="00933126"/>
    <w:rsid w:val="00933389"/>
    <w:rsid w:val="00933A52"/>
    <w:rsid w:val="00933B20"/>
    <w:rsid w:val="00933E3C"/>
    <w:rsid w:val="00935288"/>
    <w:rsid w:val="00935430"/>
    <w:rsid w:val="0093570E"/>
    <w:rsid w:val="009357ED"/>
    <w:rsid w:val="00935EC6"/>
    <w:rsid w:val="00936676"/>
    <w:rsid w:val="009367DF"/>
    <w:rsid w:val="0093722B"/>
    <w:rsid w:val="009372C1"/>
    <w:rsid w:val="00937AA9"/>
    <w:rsid w:val="00937AB1"/>
    <w:rsid w:val="00937BD4"/>
    <w:rsid w:val="00940112"/>
    <w:rsid w:val="00940309"/>
    <w:rsid w:val="0094042F"/>
    <w:rsid w:val="00940679"/>
    <w:rsid w:val="0094068D"/>
    <w:rsid w:val="00940811"/>
    <w:rsid w:val="00940D03"/>
    <w:rsid w:val="00941466"/>
    <w:rsid w:val="009419B9"/>
    <w:rsid w:val="00941CAD"/>
    <w:rsid w:val="0094380A"/>
    <w:rsid w:val="00943D64"/>
    <w:rsid w:val="00943EB8"/>
    <w:rsid w:val="009443D8"/>
    <w:rsid w:val="0094440F"/>
    <w:rsid w:val="0094449B"/>
    <w:rsid w:val="009454ED"/>
    <w:rsid w:val="00946259"/>
    <w:rsid w:val="009465FF"/>
    <w:rsid w:val="009469AA"/>
    <w:rsid w:val="00946FCE"/>
    <w:rsid w:val="0094720D"/>
    <w:rsid w:val="0094781E"/>
    <w:rsid w:val="00947920"/>
    <w:rsid w:val="00947ED1"/>
    <w:rsid w:val="00950888"/>
    <w:rsid w:val="00950A01"/>
    <w:rsid w:val="00950B12"/>
    <w:rsid w:val="00950D20"/>
    <w:rsid w:val="0095113D"/>
    <w:rsid w:val="0095193F"/>
    <w:rsid w:val="0095235F"/>
    <w:rsid w:val="009526AD"/>
    <w:rsid w:val="0095291D"/>
    <w:rsid w:val="009532D8"/>
    <w:rsid w:val="009532F2"/>
    <w:rsid w:val="009536A0"/>
    <w:rsid w:val="00953A52"/>
    <w:rsid w:val="00953FB6"/>
    <w:rsid w:val="0095498F"/>
    <w:rsid w:val="00954A3F"/>
    <w:rsid w:val="00955102"/>
    <w:rsid w:val="00955EC0"/>
    <w:rsid w:val="00956168"/>
    <w:rsid w:val="0095626D"/>
    <w:rsid w:val="00956A94"/>
    <w:rsid w:val="00956DED"/>
    <w:rsid w:val="00956EB9"/>
    <w:rsid w:val="00956F0F"/>
    <w:rsid w:val="00957325"/>
    <w:rsid w:val="009579C9"/>
    <w:rsid w:val="00957D37"/>
    <w:rsid w:val="00961B52"/>
    <w:rsid w:val="00961C44"/>
    <w:rsid w:val="00961D9F"/>
    <w:rsid w:val="009620A8"/>
    <w:rsid w:val="009622BE"/>
    <w:rsid w:val="00962597"/>
    <w:rsid w:val="009626D4"/>
    <w:rsid w:val="009626F1"/>
    <w:rsid w:val="00962835"/>
    <w:rsid w:val="0096284E"/>
    <w:rsid w:val="00962B9E"/>
    <w:rsid w:val="00962C26"/>
    <w:rsid w:val="00962F8A"/>
    <w:rsid w:val="00963219"/>
    <w:rsid w:val="00963374"/>
    <w:rsid w:val="0096398E"/>
    <w:rsid w:val="00964373"/>
    <w:rsid w:val="009647FD"/>
    <w:rsid w:val="00964803"/>
    <w:rsid w:val="00964883"/>
    <w:rsid w:val="00965861"/>
    <w:rsid w:val="009658FF"/>
    <w:rsid w:val="00965BED"/>
    <w:rsid w:val="00965CCE"/>
    <w:rsid w:val="0096665D"/>
    <w:rsid w:val="00966B19"/>
    <w:rsid w:val="00966EC9"/>
    <w:rsid w:val="009673B1"/>
    <w:rsid w:val="00967407"/>
    <w:rsid w:val="0096759F"/>
    <w:rsid w:val="009678C4"/>
    <w:rsid w:val="00967A0D"/>
    <w:rsid w:val="00967A16"/>
    <w:rsid w:val="009701BE"/>
    <w:rsid w:val="00970392"/>
    <w:rsid w:val="00971AA8"/>
    <w:rsid w:val="009722CC"/>
    <w:rsid w:val="00972CBE"/>
    <w:rsid w:val="00973513"/>
    <w:rsid w:val="00973806"/>
    <w:rsid w:val="009747C3"/>
    <w:rsid w:val="009748EE"/>
    <w:rsid w:val="00974908"/>
    <w:rsid w:val="009749F9"/>
    <w:rsid w:val="009750B4"/>
    <w:rsid w:val="00975281"/>
    <w:rsid w:val="00975E6C"/>
    <w:rsid w:val="00976020"/>
    <w:rsid w:val="0097619D"/>
    <w:rsid w:val="0097635E"/>
    <w:rsid w:val="009765C7"/>
    <w:rsid w:val="00976689"/>
    <w:rsid w:val="009769EA"/>
    <w:rsid w:val="009769EE"/>
    <w:rsid w:val="00976A1D"/>
    <w:rsid w:val="00976AC0"/>
    <w:rsid w:val="00976D95"/>
    <w:rsid w:val="009775E4"/>
    <w:rsid w:val="0097768C"/>
    <w:rsid w:val="00980402"/>
    <w:rsid w:val="009812A6"/>
    <w:rsid w:val="0098143E"/>
    <w:rsid w:val="009820D5"/>
    <w:rsid w:val="00982556"/>
    <w:rsid w:val="00982723"/>
    <w:rsid w:val="00983058"/>
    <w:rsid w:val="00983136"/>
    <w:rsid w:val="009836F7"/>
    <w:rsid w:val="00983702"/>
    <w:rsid w:val="00983FD7"/>
    <w:rsid w:val="00984906"/>
    <w:rsid w:val="00985350"/>
    <w:rsid w:val="00985599"/>
    <w:rsid w:val="009856A2"/>
    <w:rsid w:val="00985735"/>
    <w:rsid w:val="00985DCB"/>
    <w:rsid w:val="0098604D"/>
    <w:rsid w:val="009860BF"/>
    <w:rsid w:val="009862A4"/>
    <w:rsid w:val="00986447"/>
    <w:rsid w:val="009865DB"/>
    <w:rsid w:val="0098675D"/>
    <w:rsid w:val="00986A20"/>
    <w:rsid w:val="00986A3C"/>
    <w:rsid w:val="00986B2E"/>
    <w:rsid w:val="00986D7B"/>
    <w:rsid w:val="00987AB4"/>
    <w:rsid w:val="00987AC8"/>
    <w:rsid w:val="00990A0A"/>
    <w:rsid w:val="00991237"/>
    <w:rsid w:val="00991279"/>
    <w:rsid w:val="009914A5"/>
    <w:rsid w:val="009914EE"/>
    <w:rsid w:val="00991FAC"/>
    <w:rsid w:val="00991FF7"/>
    <w:rsid w:val="00993136"/>
    <w:rsid w:val="009932BF"/>
    <w:rsid w:val="00993697"/>
    <w:rsid w:val="00993A63"/>
    <w:rsid w:val="00993D41"/>
    <w:rsid w:val="00994037"/>
    <w:rsid w:val="009940F2"/>
    <w:rsid w:val="0099420C"/>
    <w:rsid w:val="00994232"/>
    <w:rsid w:val="00994405"/>
    <w:rsid w:val="00995281"/>
    <w:rsid w:val="00995757"/>
    <w:rsid w:val="009957A0"/>
    <w:rsid w:val="00995842"/>
    <w:rsid w:val="00995C44"/>
    <w:rsid w:val="00996732"/>
    <w:rsid w:val="00996844"/>
    <w:rsid w:val="0099685F"/>
    <w:rsid w:val="00996BD8"/>
    <w:rsid w:val="00996E56"/>
    <w:rsid w:val="0099708F"/>
    <w:rsid w:val="009971C5"/>
    <w:rsid w:val="00997404"/>
    <w:rsid w:val="009976A0"/>
    <w:rsid w:val="00997759"/>
    <w:rsid w:val="009977F7"/>
    <w:rsid w:val="00997B80"/>
    <w:rsid w:val="00997EB0"/>
    <w:rsid w:val="00997F87"/>
    <w:rsid w:val="009A0097"/>
    <w:rsid w:val="009A0774"/>
    <w:rsid w:val="009A0D83"/>
    <w:rsid w:val="009A17B1"/>
    <w:rsid w:val="009A180E"/>
    <w:rsid w:val="009A1B61"/>
    <w:rsid w:val="009A20BA"/>
    <w:rsid w:val="009A2296"/>
    <w:rsid w:val="009A278E"/>
    <w:rsid w:val="009A38BA"/>
    <w:rsid w:val="009A39C3"/>
    <w:rsid w:val="009A42B6"/>
    <w:rsid w:val="009A44D6"/>
    <w:rsid w:val="009A46F1"/>
    <w:rsid w:val="009A496C"/>
    <w:rsid w:val="009A4E26"/>
    <w:rsid w:val="009A4E9B"/>
    <w:rsid w:val="009A5386"/>
    <w:rsid w:val="009A5410"/>
    <w:rsid w:val="009A54B5"/>
    <w:rsid w:val="009A54DF"/>
    <w:rsid w:val="009A5D22"/>
    <w:rsid w:val="009A62B1"/>
    <w:rsid w:val="009A6486"/>
    <w:rsid w:val="009A650B"/>
    <w:rsid w:val="009A6A4F"/>
    <w:rsid w:val="009A6DE0"/>
    <w:rsid w:val="009A6DFF"/>
    <w:rsid w:val="009A6FD8"/>
    <w:rsid w:val="009A76D2"/>
    <w:rsid w:val="009A797D"/>
    <w:rsid w:val="009A7C1D"/>
    <w:rsid w:val="009B0091"/>
    <w:rsid w:val="009B0103"/>
    <w:rsid w:val="009B08AA"/>
    <w:rsid w:val="009B132A"/>
    <w:rsid w:val="009B1BD0"/>
    <w:rsid w:val="009B1C64"/>
    <w:rsid w:val="009B1F71"/>
    <w:rsid w:val="009B204D"/>
    <w:rsid w:val="009B2458"/>
    <w:rsid w:val="009B2545"/>
    <w:rsid w:val="009B2E78"/>
    <w:rsid w:val="009B317B"/>
    <w:rsid w:val="009B36AA"/>
    <w:rsid w:val="009B382A"/>
    <w:rsid w:val="009B3D63"/>
    <w:rsid w:val="009B3EB9"/>
    <w:rsid w:val="009B3F9E"/>
    <w:rsid w:val="009B4288"/>
    <w:rsid w:val="009B4720"/>
    <w:rsid w:val="009B4748"/>
    <w:rsid w:val="009B497E"/>
    <w:rsid w:val="009B4B95"/>
    <w:rsid w:val="009B4D9F"/>
    <w:rsid w:val="009B5631"/>
    <w:rsid w:val="009B5A66"/>
    <w:rsid w:val="009B5B8D"/>
    <w:rsid w:val="009B6C2A"/>
    <w:rsid w:val="009B6E52"/>
    <w:rsid w:val="009B7002"/>
    <w:rsid w:val="009B7666"/>
    <w:rsid w:val="009B76BF"/>
    <w:rsid w:val="009B7773"/>
    <w:rsid w:val="009C018F"/>
    <w:rsid w:val="009C02CB"/>
    <w:rsid w:val="009C04F0"/>
    <w:rsid w:val="009C0E59"/>
    <w:rsid w:val="009C1597"/>
    <w:rsid w:val="009C16D0"/>
    <w:rsid w:val="009C1BBF"/>
    <w:rsid w:val="009C202E"/>
    <w:rsid w:val="009C25A5"/>
    <w:rsid w:val="009C2603"/>
    <w:rsid w:val="009C2713"/>
    <w:rsid w:val="009C309E"/>
    <w:rsid w:val="009C3109"/>
    <w:rsid w:val="009C3172"/>
    <w:rsid w:val="009C33F2"/>
    <w:rsid w:val="009C49AB"/>
    <w:rsid w:val="009C4D65"/>
    <w:rsid w:val="009C53F7"/>
    <w:rsid w:val="009C560E"/>
    <w:rsid w:val="009C5EC1"/>
    <w:rsid w:val="009C6371"/>
    <w:rsid w:val="009C6BC5"/>
    <w:rsid w:val="009C6BE0"/>
    <w:rsid w:val="009C6FE4"/>
    <w:rsid w:val="009C7092"/>
    <w:rsid w:val="009C7124"/>
    <w:rsid w:val="009C73C1"/>
    <w:rsid w:val="009C7DCE"/>
    <w:rsid w:val="009D002D"/>
    <w:rsid w:val="009D003F"/>
    <w:rsid w:val="009D0180"/>
    <w:rsid w:val="009D01C7"/>
    <w:rsid w:val="009D02EA"/>
    <w:rsid w:val="009D045F"/>
    <w:rsid w:val="009D04F6"/>
    <w:rsid w:val="009D08C5"/>
    <w:rsid w:val="009D0D8B"/>
    <w:rsid w:val="009D1644"/>
    <w:rsid w:val="009D1AAB"/>
    <w:rsid w:val="009D1B02"/>
    <w:rsid w:val="009D1CC0"/>
    <w:rsid w:val="009D2406"/>
    <w:rsid w:val="009D2A13"/>
    <w:rsid w:val="009D2F3B"/>
    <w:rsid w:val="009D3BED"/>
    <w:rsid w:val="009D40D0"/>
    <w:rsid w:val="009D49E7"/>
    <w:rsid w:val="009D4A0A"/>
    <w:rsid w:val="009D4BAA"/>
    <w:rsid w:val="009D4C0D"/>
    <w:rsid w:val="009D53EE"/>
    <w:rsid w:val="009D55BA"/>
    <w:rsid w:val="009D583B"/>
    <w:rsid w:val="009D602A"/>
    <w:rsid w:val="009D6354"/>
    <w:rsid w:val="009D6D7F"/>
    <w:rsid w:val="009D6E72"/>
    <w:rsid w:val="009D75BD"/>
    <w:rsid w:val="009E0683"/>
    <w:rsid w:val="009E0B4C"/>
    <w:rsid w:val="009E0D15"/>
    <w:rsid w:val="009E1AAB"/>
    <w:rsid w:val="009E1D00"/>
    <w:rsid w:val="009E1D78"/>
    <w:rsid w:val="009E1FAC"/>
    <w:rsid w:val="009E2049"/>
    <w:rsid w:val="009E282C"/>
    <w:rsid w:val="009E286F"/>
    <w:rsid w:val="009E2B8A"/>
    <w:rsid w:val="009E3075"/>
    <w:rsid w:val="009E310A"/>
    <w:rsid w:val="009E34A3"/>
    <w:rsid w:val="009E370B"/>
    <w:rsid w:val="009E3A60"/>
    <w:rsid w:val="009E40F6"/>
    <w:rsid w:val="009E43C8"/>
    <w:rsid w:val="009E44C7"/>
    <w:rsid w:val="009E505E"/>
    <w:rsid w:val="009E5331"/>
    <w:rsid w:val="009E5498"/>
    <w:rsid w:val="009E5690"/>
    <w:rsid w:val="009E58FC"/>
    <w:rsid w:val="009E5AA2"/>
    <w:rsid w:val="009E5D05"/>
    <w:rsid w:val="009E65AC"/>
    <w:rsid w:val="009E668D"/>
    <w:rsid w:val="009E6BB4"/>
    <w:rsid w:val="009E6E73"/>
    <w:rsid w:val="009E7C06"/>
    <w:rsid w:val="009E7EBB"/>
    <w:rsid w:val="009F0028"/>
    <w:rsid w:val="009F0330"/>
    <w:rsid w:val="009F0556"/>
    <w:rsid w:val="009F117B"/>
    <w:rsid w:val="009F1418"/>
    <w:rsid w:val="009F165D"/>
    <w:rsid w:val="009F1663"/>
    <w:rsid w:val="009F19D4"/>
    <w:rsid w:val="009F255F"/>
    <w:rsid w:val="009F264E"/>
    <w:rsid w:val="009F2EBB"/>
    <w:rsid w:val="009F30A5"/>
    <w:rsid w:val="009F32B6"/>
    <w:rsid w:val="009F396E"/>
    <w:rsid w:val="009F3DFA"/>
    <w:rsid w:val="009F46D4"/>
    <w:rsid w:val="009F49A0"/>
    <w:rsid w:val="009F4DB4"/>
    <w:rsid w:val="009F50F7"/>
    <w:rsid w:val="009F5172"/>
    <w:rsid w:val="009F52B5"/>
    <w:rsid w:val="009F591D"/>
    <w:rsid w:val="009F6B0E"/>
    <w:rsid w:val="009F735D"/>
    <w:rsid w:val="009F7633"/>
    <w:rsid w:val="009F76F1"/>
    <w:rsid w:val="009F7913"/>
    <w:rsid w:val="009F79EB"/>
    <w:rsid w:val="009F7C1A"/>
    <w:rsid w:val="009F7F59"/>
    <w:rsid w:val="00A005C6"/>
    <w:rsid w:val="00A00A0E"/>
    <w:rsid w:val="00A0202E"/>
    <w:rsid w:val="00A02284"/>
    <w:rsid w:val="00A02956"/>
    <w:rsid w:val="00A02D7E"/>
    <w:rsid w:val="00A02F16"/>
    <w:rsid w:val="00A0353A"/>
    <w:rsid w:val="00A038EE"/>
    <w:rsid w:val="00A04129"/>
    <w:rsid w:val="00A04CCC"/>
    <w:rsid w:val="00A04D54"/>
    <w:rsid w:val="00A04E6F"/>
    <w:rsid w:val="00A04EB0"/>
    <w:rsid w:val="00A05068"/>
    <w:rsid w:val="00A051A0"/>
    <w:rsid w:val="00A05B2F"/>
    <w:rsid w:val="00A063A3"/>
    <w:rsid w:val="00A06414"/>
    <w:rsid w:val="00A0647B"/>
    <w:rsid w:val="00A06678"/>
    <w:rsid w:val="00A06C12"/>
    <w:rsid w:val="00A075E2"/>
    <w:rsid w:val="00A10345"/>
    <w:rsid w:val="00A10620"/>
    <w:rsid w:val="00A10917"/>
    <w:rsid w:val="00A117CD"/>
    <w:rsid w:val="00A11989"/>
    <w:rsid w:val="00A11AC3"/>
    <w:rsid w:val="00A11FCF"/>
    <w:rsid w:val="00A1216C"/>
    <w:rsid w:val="00A127ED"/>
    <w:rsid w:val="00A12D08"/>
    <w:rsid w:val="00A13052"/>
    <w:rsid w:val="00A13074"/>
    <w:rsid w:val="00A1363C"/>
    <w:rsid w:val="00A136D2"/>
    <w:rsid w:val="00A13877"/>
    <w:rsid w:val="00A13CA9"/>
    <w:rsid w:val="00A140C5"/>
    <w:rsid w:val="00A1411D"/>
    <w:rsid w:val="00A1442F"/>
    <w:rsid w:val="00A1449E"/>
    <w:rsid w:val="00A144AA"/>
    <w:rsid w:val="00A14A21"/>
    <w:rsid w:val="00A14A42"/>
    <w:rsid w:val="00A14E1F"/>
    <w:rsid w:val="00A14ECB"/>
    <w:rsid w:val="00A150A5"/>
    <w:rsid w:val="00A1524B"/>
    <w:rsid w:val="00A15D97"/>
    <w:rsid w:val="00A15F1E"/>
    <w:rsid w:val="00A161E5"/>
    <w:rsid w:val="00A16708"/>
    <w:rsid w:val="00A17EE4"/>
    <w:rsid w:val="00A17FCB"/>
    <w:rsid w:val="00A202B7"/>
    <w:rsid w:val="00A205F2"/>
    <w:rsid w:val="00A20977"/>
    <w:rsid w:val="00A21473"/>
    <w:rsid w:val="00A2152A"/>
    <w:rsid w:val="00A216D2"/>
    <w:rsid w:val="00A21856"/>
    <w:rsid w:val="00A21F3D"/>
    <w:rsid w:val="00A224CB"/>
    <w:rsid w:val="00A2261F"/>
    <w:rsid w:val="00A2301E"/>
    <w:rsid w:val="00A2310D"/>
    <w:rsid w:val="00A236C5"/>
    <w:rsid w:val="00A237A4"/>
    <w:rsid w:val="00A23BB1"/>
    <w:rsid w:val="00A24430"/>
    <w:rsid w:val="00A24593"/>
    <w:rsid w:val="00A2461D"/>
    <w:rsid w:val="00A2462A"/>
    <w:rsid w:val="00A24E89"/>
    <w:rsid w:val="00A253B8"/>
    <w:rsid w:val="00A2541F"/>
    <w:rsid w:val="00A2567D"/>
    <w:rsid w:val="00A25B7F"/>
    <w:rsid w:val="00A25C3F"/>
    <w:rsid w:val="00A25CCB"/>
    <w:rsid w:val="00A25D29"/>
    <w:rsid w:val="00A26816"/>
    <w:rsid w:val="00A269B0"/>
    <w:rsid w:val="00A270D1"/>
    <w:rsid w:val="00A2774F"/>
    <w:rsid w:val="00A27858"/>
    <w:rsid w:val="00A27AA4"/>
    <w:rsid w:val="00A27FF0"/>
    <w:rsid w:val="00A3002E"/>
    <w:rsid w:val="00A30495"/>
    <w:rsid w:val="00A30D77"/>
    <w:rsid w:val="00A30E47"/>
    <w:rsid w:val="00A30EFA"/>
    <w:rsid w:val="00A3144B"/>
    <w:rsid w:val="00A3179D"/>
    <w:rsid w:val="00A318F1"/>
    <w:rsid w:val="00A31A68"/>
    <w:rsid w:val="00A31D68"/>
    <w:rsid w:val="00A31DF6"/>
    <w:rsid w:val="00A31FA1"/>
    <w:rsid w:val="00A323D2"/>
    <w:rsid w:val="00A324EB"/>
    <w:rsid w:val="00A32845"/>
    <w:rsid w:val="00A32B2E"/>
    <w:rsid w:val="00A32B55"/>
    <w:rsid w:val="00A32B8C"/>
    <w:rsid w:val="00A32C1B"/>
    <w:rsid w:val="00A32D39"/>
    <w:rsid w:val="00A32F80"/>
    <w:rsid w:val="00A33E5D"/>
    <w:rsid w:val="00A342F0"/>
    <w:rsid w:val="00A34574"/>
    <w:rsid w:val="00A348A4"/>
    <w:rsid w:val="00A34C1D"/>
    <w:rsid w:val="00A34CB6"/>
    <w:rsid w:val="00A34CC0"/>
    <w:rsid w:val="00A34E88"/>
    <w:rsid w:val="00A353E4"/>
    <w:rsid w:val="00A3541E"/>
    <w:rsid w:val="00A35521"/>
    <w:rsid w:val="00A358A2"/>
    <w:rsid w:val="00A35E1B"/>
    <w:rsid w:val="00A36155"/>
    <w:rsid w:val="00A3673A"/>
    <w:rsid w:val="00A371A9"/>
    <w:rsid w:val="00A374B8"/>
    <w:rsid w:val="00A3764D"/>
    <w:rsid w:val="00A378C4"/>
    <w:rsid w:val="00A37B0D"/>
    <w:rsid w:val="00A37C56"/>
    <w:rsid w:val="00A37D18"/>
    <w:rsid w:val="00A40D42"/>
    <w:rsid w:val="00A40DE0"/>
    <w:rsid w:val="00A414E5"/>
    <w:rsid w:val="00A41BF5"/>
    <w:rsid w:val="00A42184"/>
    <w:rsid w:val="00A425B0"/>
    <w:rsid w:val="00A42604"/>
    <w:rsid w:val="00A42CB1"/>
    <w:rsid w:val="00A433DF"/>
    <w:rsid w:val="00A433F8"/>
    <w:rsid w:val="00A43925"/>
    <w:rsid w:val="00A439A0"/>
    <w:rsid w:val="00A43C8D"/>
    <w:rsid w:val="00A43D73"/>
    <w:rsid w:val="00A446B8"/>
    <w:rsid w:val="00A44EC7"/>
    <w:rsid w:val="00A44FE2"/>
    <w:rsid w:val="00A45364"/>
    <w:rsid w:val="00A45453"/>
    <w:rsid w:val="00A461A5"/>
    <w:rsid w:val="00A466B8"/>
    <w:rsid w:val="00A46BF5"/>
    <w:rsid w:val="00A46CAD"/>
    <w:rsid w:val="00A46CC4"/>
    <w:rsid w:val="00A46E10"/>
    <w:rsid w:val="00A46E61"/>
    <w:rsid w:val="00A46EE2"/>
    <w:rsid w:val="00A47698"/>
    <w:rsid w:val="00A478F2"/>
    <w:rsid w:val="00A50076"/>
    <w:rsid w:val="00A50654"/>
    <w:rsid w:val="00A5093F"/>
    <w:rsid w:val="00A50B36"/>
    <w:rsid w:val="00A50EE9"/>
    <w:rsid w:val="00A51056"/>
    <w:rsid w:val="00A5121E"/>
    <w:rsid w:val="00A5153E"/>
    <w:rsid w:val="00A52139"/>
    <w:rsid w:val="00A5218F"/>
    <w:rsid w:val="00A522C5"/>
    <w:rsid w:val="00A527FA"/>
    <w:rsid w:val="00A52B89"/>
    <w:rsid w:val="00A52FEB"/>
    <w:rsid w:val="00A53FF4"/>
    <w:rsid w:val="00A54002"/>
    <w:rsid w:val="00A549D3"/>
    <w:rsid w:val="00A54E96"/>
    <w:rsid w:val="00A5545D"/>
    <w:rsid w:val="00A554CD"/>
    <w:rsid w:val="00A5588B"/>
    <w:rsid w:val="00A55D2B"/>
    <w:rsid w:val="00A56435"/>
    <w:rsid w:val="00A56819"/>
    <w:rsid w:val="00A5686A"/>
    <w:rsid w:val="00A568B5"/>
    <w:rsid w:val="00A5698E"/>
    <w:rsid w:val="00A56D2E"/>
    <w:rsid w:val="00A572FB"/>
    <w:rsid w:val="00A57EF4"/>
    <w:rsid w:val="00A60112"/>
    <w:rsid w:val="00A602E9"/>
    <w:rsid w:val="00A60553"/>
    <w:rsid w:val="00A60714"/>
    <w:rsid w:val="00A60DD5"/>
    <w:rsid w:val="00A6167C"/>
    <w:rsid w:val="00A61C0B"/>
    <w:rsid w:val="00A61DC1"/>
    <w:rsid w:val="00A6291E"/>
    <w:rsid w:val="00A62EF6"/>
    <w:rsid w:val="00A62FAB"/>
    <w:rsid w:val="00A63227"/>
    <w:rsid w:val="00A635E9"/>
    <w:rsid w:val="00A63D67"/>
    <w:rsid w:val="00A63EC1"/>
    <w:rsid w:val="00A63F8F"/>
    <w:rsid w:val="00A6463A"/>
    <w:rsid w:val="00A647D1"/>
    <w:rsid w:val="00A6480A"/>
    <w:rsid w:val="00A64CA1"/>
    <w:rsid w:val="00A64F0F"/>
    <w:rsid w:val="00A65503"/>
    <w:rsid w:val="00A656D5"/>
    <w:rsid w:val="00A658BD"/>
    <w:rsid w:val="00A65D52"/>
    <w:rsid w:val="00A66240"/>
    <w:rsid w:val="00A668D4"/>
    <w:rsid w:val="00A66917"/>
    <w:rsid w:val="00A66A8C"/>
    <w:rsid w:val="00A66E44"/>
    <w:rsid w:val="00A67094"/>
    <w:rsid w:val="00A67108"/>
    <w:rsid w:val="00A673C4"/>
    <w:rsid w:val="00A673EF"/>
    <w:rsid w:val="00A67522"/>
    <w:rsid w:val="00A67939"/>
    <w:rsid w:val="00A67E4A"/>
    <w:rsid w:val="00A67E7A"/>
    <w:rsid w:val="00A7123D"/>
    <w:rsid w:val="00A7131E"/>
    <w:rsid w:val="00A717B6"/>
    <w:rsid w:val="00A71AB5"/>
    <w:rsid w:val="00A71D5F"/>
    <w:rsid w:val="00A720EC"/>
    <w:rsid w:val="00A7232F"/>
    <w:rsid w:val="00A72F9E"/>
    <w:rsid w:val="00A73636"/>
    <w:rsid w:val="00A73CAD"/>
    <w:rsid w:val="00A73F4B"/>
    <w:rsid w:val="00A7443B"/>
    <w:rsid w:val="00A74BFE"/>
    <w:rsid w:val="00A74C75"/>
    <w:rsid w:val="00A75A7E"/>
    <w:rsid w:val="00A75B34"/>
    <w:rsid w:val="00A75BC2"/>
    <w:rsid w:val="00A764C1"/>
    <w:rsid w:val="00A76687"/>
    <w:rsid w:val="00A7671B"/>
    <w:rsid w:val="00A768C3"/>
    <w:rsid w:val="00A76B9C"/>
    <w:rsid w:val="00A76BDC"/>
    <w:rsid w:val="00A76F86"/>
    <w:rsid w:val="00A77187"/>
    <w:rsid w:val="00A7774D"/>
    <w:rsid w:val="00A77964"/>
    <w:rsid w:val="00A80149"/>
    <w:rsid w:val="00A80541"/>
    <w:rsid w:val="00A8080C"/>
    <w:rsid w:val="00A80F48"/>
    <w:rsid w:val="00A815DB"/>
    <w:rsid w:val="00A81762"/>
    <w:rsid w:val="00A81814"/>
    <w:rsid w:val="00A81A96"/>
    <w:rsid w:val="00A81BC1"/>
    <w:rsid w:val="00A81D15"/>
    <w:rsid w:val="00A81F65"/>
    <w:rsid w:val="00A8248D"/>
    <w:rsid w:val="00A824A5"/>
    <w:rsid w:val="00A82B79"/>
    <w:rsid w:val="00A82C78"/>
    <w:rsid w:val="00A833BD"/>
    <w:rsid w:val="00A83F18"/>
    <w:rsid w:val="00A84792"/>
    <w:rsid w:val="00A849AB"/>
    <w:rsid w:val="00A84B2F"/>
    <w:rsid w:val="00A84D6E"/>
    <w:rsid w:val="00A84E3D"/>
    <w:rsid w:val="00A850C7"/>
    <w:rsid w:val="00A852C4"/>
    <w:rsid w:val="00A857A2"/>
    <w:rsid w:val="00A86044"/>
    <w:rsid w:val="00A866C1"/>
    <w:rsid w:val="00A86CFD"/>
    <w:rsid w:val="00A87025"/>
    <w:rsid w:val="00A871B2"/>
    <w:rsid w:val="00A872FA"/>
    <w:rsid w:val="00A87355"/>
    <w:rsid w:val="00A873A1"/>
    <w:rsid w:val="00A87995"/>
    <w:rsid w:val="00A9092B"/>
    <w:rsid w:val="00A91A62"/>
    <w:rsid w:val="00A92094"/>
    <w:rsid w:val="00A92A12"/>
    <w:rsid w:val="00A92F28"/>
    <w:rsid w:val="00A931BA"/>
    <w:rsid w:val="00A93A95"/>
    <w:rsid w:val="00A94DAE"/>
    <w:rsid w:val="00A94EDE"/>
    <w:rsid w:val="00A94FFC"/>
    <w:rsid w:val="00A952B9"/>
    <w:rsid w:val="00A95305"/>
    <w:rsid w:val="00A95680"/>
    <w:rsid w:val="00A9582F"/>
    <w:rsid w:val="00A96008"/>
    <w:rsid w:val="00A960BE"/>
    <w:rsid w:val="00A960DD"/>
    <w:rsid w:val="00A964BD"/>
    <w:rsid w:val="00A96761"/>
    <w:rsid w:val="00A96CE0"/>
    <w:rsid w:val="00AA04D5"/>
    <w:rsid w:val="00AA093C"/>
    <w:rsid w:val="00AA0C36"/>
    <w:rsid w:val="00AA0D65"/>
    <w:rsid w:val="00AA0FFB"/>
    <w:rsid w:val="00AA1191"/>
    <w:rsid w:val="00AA1265"/>
    <w:rsid w:val="00AA12C2"/>
    <w:rsid w:val="00AA1D5F"/>
    <w:rsid w:val="00AA1E2A"/>
    <w:rsid w:val="00AA1E3C"/>
    <w:rsid w:val="00AA1FAC"/>
    <w:rsid w:val="00AA20DC"/>
    <w:rsid w:val="00AA21D4"/>
    <w:rsid w:val="00AA22CF"/>
    <w:rsid w:val="00AA2A2C"/>
    <w:rsid w:val="00AA3C17"/>
    <w:rsid w:val="00AA3C6F"/>
    <w:rsid w:val="00AA3E97"/>
    <w:rsid w:val="00AA3FF0"/>
    <w:rsid w:val="00AA4271"/>
    <w:rsid w:val="00AA4608"/>
    <w:rsid w:val="00AA4E57"/>
    <w:rsid w:val="00AA4F0B"/>
    <w:rsid w:val="00AA4FA3"/>
    <w:rsid w:val="00AA5180"/>
    <w:rsid w:val="00AA5331"/>
    <w:rsid w:val="00AA5363"/>
    <w:rsid w:val="00AA64D8"/>
    <w:rsid w:val="00AA6691"/>
    <w:rsid w:val="00AA678A"/>
    <w:rsid w:val="00AA74B5"/>
    <w:rsid w:val="00AA7683"/>
    <w:rsid w:val="00AA7C63"/>
    <w:rsid w:val="00AA7DFC"/>
    <w:rsid w:val="00AA7FDE"/>
    <w:rsid w:val="00AB097D"/>
    <w:rsid w:val="00AB0AA1"/>
    <w:rsid w:val="00AB0CD6"/>
    <w:rsid w:val="00AB166D"/>
    <w:rsid w:val="00AB1680"/>
    <w:rsid w:val="00AB22B5"/>
    <w:rsid w:val="00AB28E2"/>
    <w:rsid w:val="00AB32DD"/>
    <w:rsid w:val="00AB368B"/>
    <w:rsid w:val="00AB3980"/>
    <w:rsid w:val="00AB3A71"/>
    <w:rsid w:val="00AB410B"/>
    <w:rsid w:val="00AB43FC"/>
    <w:rsid w:val="00AB4836"/>
    <w:rsid w:val="00AB4F9E"/>
    <w:rsid w:val="00AB540F"/>
    <w:rsid w:val="00AB587A"/>
    <w:rsid w:val="00AB589B"/>
    <w:rsid w:val="00AB5BEA"/>
    <w:rsid w:val="00AB5EEC"/>
    <w:rsid w:val="00AB6B2D"/>
    <w:rsid w:val="00AB6F65"/>
    <w:rsid w:val="00AB7DE6"/>
    <w:rsid w:val="00AC0231"/>
    <w:rsid w:val="00AC0422"/>
    <w:rsid w:val="00AC05A7"/>
    <w:rsid w:val="00AC08D6"/>
    <w:rsid w:val="00AC0AAE"/>
    <w:rsid w:val="00AC120C"/>
    <w:rsid w:val="00AC1D29"/>
    <w:rsid w:val="00AC2737"/>
    <w:rsid w:val="00AC2923"/>
    <w:rsid w:val="00AC31BC"/>
    <w:rsid w:val="00AC3729"/>
    <w:rsid w:val="00AC3CD6"/>
    <w:rsid w:val="00AC3D4A"/>
    <w:rsid w:val="00AC41F3"/>
    <w:rsid w:val="00AC455F"/>
    <w:rsid w:val="00AC4719"/>
    <w:rsid w:val="00AC4932"/>
    <w:rsid w:val="00AC4B39"/>
    <w:rsid w:val="00AC5549"/>
    <w:rsid w:val="00AC5A28"/>
    <w:rsid w:val="00AC5C70"/>
    <w:rsid w:val="00AC5EC2"/>
    <w:rsid w:val="00AC6946"/>
    <w:rsid w:val="00AC6A9E"/>
    <w:rsid w:val="00AC7072"/>
    <w:rsid w:val="00AC722A"/>
    <w:rsid w:val="00AC778E"/>
    <w:rsid w:val="00AC7943"/>
    <w:rsid w:val="00AC7B71"/>
    <w:rsid w:val="00AD001C"/>
    <w:rsid w:val="00AD04CD"/>
    <w:rsid w:val="00AD0638"/>
    <w:rsid w:val="00AD0FD4"/>
    <w:rsid w:val="00AD1050"/>
    <w:rsid w:val="00AD10CA"/>
    <w:rsid w:val="00AD116D"/>
    <w:rsid w:val="00AD15EB"/>
    <w:rsid w:val="00AD1864"/>
    <w:rsid w:val="00AD1BF3"/>
    <w:rsid w:val="00AD278D"/>
    <w:rsid w:val="00AD2A12"/>
    <w:rsid w:val="00AD2F82"/>
    <w:rsid w:val="00AD3103"/>
    <w:rsid w:val="00AD35BA"/>
    <w:rsid w:val="00AD3DC6"/>
    <w:rsid w:val="00AD3F27"/>
    <w:rsid w:val="00AD46DD"/>
    <w:rsid w:val="00AD483F"/>
    <w:rsid w:val="00AD5185"/>
    <w:rsid w:val="00AD5270"/>
    <w:rsid w:val="00AD58DC"/>
    <w:rsid w:val="00AD59AF"/>
    <w:rsid w:val="00AD658B"/>
    <w:rsid w:val="00AD68B0"/>
    <w:rsid w:val="00AD6929"/>
    <w:rsid w:val="00AD6A9D"/>
    <w:rsid w:val="00AD6DDE"/>
    <w:rsid w:val="00AD6FEB"/>
    <w:rsid w:val="00AD76AA"/>
    <w:rsid w:val="00AD7858"/>
    <w:rsid w:val="00AD7871"/>
    <w:rsid w:val="00AD7CC2"/>
    <w:rsid w:val="00AD7D31"/>
    <w:rsid w:val="00AE0314"/>
    <w:rsid w:val="00AE1688"/>
    <w:rsid w:val="00AE19DB"/>
    <w:rsid w:val="00AE1F97"/>
    <w:rsid w:val="00AE2836"/>
    <w:rsid w:val="00AE2BCC"/>
    <w:rsid w:val="00AE31A1"/>
    <w:rsid w:val="00AE3AF7"/>
    <w:rsid w:val="00AE40F9"/>
    <w:rsid w:val="00AE4462"/>
    <w:rsid w:val="00AE4547"/>
    <w:rsid w:val="00AE47E0"/>
    <w:rsid w:val="00AE4D64"/>
    <w:rsid w:val="00AE54C3"/>
    <w:rsid w:val="00AE562C"/>
    <w:rsid w:val="00AE5634"/>
    <w:rsid w:val="00AE5A78"/>
    <w:rsid w:val="00AE5AB1"/>
    <w:rsid w:val="00AE6343"/>
    <w:rsid w:val="00AE6624"/>
    <w:rsid w:val="00AE6B4B"/>
    <w:rsid w:val="00AE6B69"/>
    <w:rsid w:val="00AE6D3F"/>
    <w:rsid w:val="00AE706F"/>
    <w:rsid w:val="00AE7EF6"/>
    <w:rsid w:val="00AF073E"/>
    <w:rsid w:val="00AF08A8"/>
    <w:rsid w:val="00AF10B9"/>
    <w:rsid w:val="00AF11BB"/>
    <w:rsid w:val="00AF13E7"/>
    <w:rsid w:val="00AF1542"/>
    <w:rsid w:val="00AF157E"/>
    <w:rsid w:val="00AF1BD1"/>
    <w:rsid w:val="00AF1F00"/>
    <w:rsid w:val="00AF28D4"/>
    <w:rsid w:val="00AF3602"/>
    <w:rsid w:val="00AF3683"/>
    <w:rsid w:val="00AF39A2"/>
    <w:rsid w:val="00AF3C5A"/>
    <w:rsid w:val="00AF444B"/>
    <w:rsid w:val="00AF44E1"/>
    <w:rsid w:val="00AF4698"/>
    <w:rsid w:val="00AF57B9"/>
    <w:rsid w:val="00AF5A45"/>
    <w:rsid w:val="00AF5B14"/>
    <w:rsid w:val="00AF5B80"/>
    <w:rsid w:val="00AF5D29"/>
    <w:rsid w:val="00AF5DF8"/>
    <w:rsid w:val="00AF6C42"/>
    <w:rsid w:val="00AF7267"/>
    <w:rsid w:val="00AF7683"/>
    <w:rsid w:val="00AF7DF9"/>
    <w:rsid w:val="00AF7F5B"/>
    <w:rsid w:val="00AF7FC1"/>
    <w:rsid w:val="00B00000"/>
    <w:rsid w:val="00B00282"/>
    <w:rsid w:val="00B00762"/>
    <w:rsid w:val="00B00DAE"/>
    <w:rsid w:val="00B00F4B"/>
    <w:rsid w:val="00B00FAD"/>
    <w:rsid w:val="00B010C6"/>
    <w:rsid w:val="00B01231"/>
    <w:rsid w:val="00B016A5"/>
    <w:rsid w:val="00B01B57"/>
    <w:rsid w:val="00B01DDA"/>
    <w:rsid w:val="00B0204C"/>
    <w:rsid w:val="00B025CB"/>
    <w:rsid w:val="00B03158"/>
    <w:rsid w:val="00B03864"/>
    <w:rsid w:val="00B03872"/>
    <w:rsid w:val="00B03B05"/>
    <w:rsid w:val="00B03CF8"/>
    <w:rsid w:val="00B03E6E"/>
    <w:rsid w:val="00B042CF"/>
    <w:rsid w:val="00B0496E"/>
    <w:rsid w:val="00B04D1B"/>
    <w:rsid w:val="00B04FE3"/>
    <w:rsid w:val="00B051EE"/>
    <w:rsid w:val="00B056BD"/>
    <w:rsid w:val="00B06361"/>
    <w:rsid w:val="00B066DB"/>
    <w:rsid w:val="00B069F5"/>
    <w:rsid w:val="00B06DD4"/>
    <w:rsid w:val="00B07009"/>
    <w:rsid w:val="00B070B3"/>
    <w:rsid w:val="00B0710E"/>
    <w:rsid w:val="00B071E2"/>
    <w:rsid w:val="00B0745E"/>
    <w:rsid w:val="00B07A0D"/>
    <w:rsid w:val="00B103B0"/>
    <w:rsid w:val="00B10CCA"/>
    <w:rsid w:val="00B10D12"/>
    <w:rsid w:val="00B10DED"/>
    <w:rsid w:val="00B11352"/>
    <w:rsid w:val="00B11491"/>
    <w:rsid w:val="00B11A7E"/>
    <w:rsid w:val="00B1236C"/>
    <w:rsid w:val="00B12754"/>
    <w:rsid w:val="00B12B2B"/>
    <w:rsid w:val="00B12FB7"/>
    <w:rsid w:val="00B132D8"/>
    <w:rsid w:val="00B13319"/>
    <w:rsid w:val="00B13428"/>
    <w:rsid w:val="00B1351F"/>
    <w:rsid w:val="00B13794"/>
    <w:rsid w:val="00B13A2D"/>
    <w:rsid w:val="00B1415B"/>
    <w:rsid w:val="00B146A2"/>
    <w:rsid w:val="00B14C06"/>
    <w:rsid w:val="00B1585E"/>
    <w:rsid w:val="00B159C5"/>
    <w:rsid w:val="00B15EAA"/>
    <w:rsid w:val="00B16467"/>
    <w:rsid w:val="00B165E7"/>
    <w:rsid w:val="00B16745"/>
    <w:rsid w:val="00B16BA7"/>
    <w:rsid w:val="00B16FDB"/>
    <w:rsid w:val="00B17451"/>
    <w:rsid w:val="00B1755C"/>
    <w:rsid w:val="00B176E0"/>
    <w:rsid w:val="00B179F6"/>
    <w:rsid w:val="00B17A26"/>
    <w:rsid w:val="00B17CD2"/>
    <w:rsid w:val="00B17EB5"/>
    <w:rsid w:val="00B202A7"/>
    <w:rsid w:val="00B202FE"/>
    <w:rsid w:val="00B21054"/>
    <w:rsid w:val="00B21C15"/>
    <w:rsid w:val="00B22258"/>
    <w:rsid w:val="00B226B1"/>
    <w:rsid w:val="00B22C10"/>
    <w:rsid w:val="00B22ED9"/>
    <w:rsid w:val="00B2390D"/>
    <w:rsid w:val="00B23C44"/>
    <w:rsid w:val="00B23D4D"/>
    <w:rsid w:val="00B24857"/>
    <w:rsid w:val="00B24DCB"/>
    <w:rsid w:val="00B2519B"/>
    <w:rsid w:val="00B258EA"/>
    <w:rsid w:val="00B25BFC"/>
    <w:rsid w:val="00B262D7"/>
    <w:rsid w:val="00B266AB"/>
    <w:rsid w:val="00B270EB"/>
    <w:rsid w:val="00B275BF"/>
    <w:rsid w:val="00B27E19"/>
    <w:rsid w:val="00B30279"/>
    <w:rsid w:val="00B305ED"/>
    <w:rsid w:val="00B3073E"/>
    <w:rsid w:val="00B30A0B"/>
    <w:rsid w:val="00B3104E"/>
    <w:rsid w:val="00B31194"/>
    <w:rsid w:val="00B31D43"/>
    <w:rsid w:val="00B32309"/>
    <w:rsid w:val="00B32522"/>
    <w:rsid w:val="00B32D42"/>
    <w:rsid w:val="00B33380"/>
    <w:rsid w:val="00B33F96"/>
    <w:rsid w:val="00B342B5"/>
    <w:rsid w:val="00B34418"/>
    <w:rsid w:val="00B344BE"/>
    <w:rsid w:val="00B34527"/>
    <w:rsid w:val="00B3472A"/>
    <w:rsid w:val="00B34BE3"/>
    <w:rsid w:val="00B351BC"/>
    <w:rsid w:val="00B355E2"/>
    <w:rsid w:val="00B3570F"/>
    <w:rsid w:val="00B35C6A"/>
    <w:rsid w:val="00B35DBC"/>
    <w:rsid w:val="00B35F01"/>
    <w:rsid w:val="00B3605F"/>
    <w:rsid w:val="00B360BC"/>
    <w:rsid w:val="00B364C9"/>
    <w:rsid w:val="00B3651F"/>
    <w:rsid w:val="00B36688"/>
    <w:rsid w:val="00B36857"/>
    <w:rsid w:val="00B36C26"/>
    <w:rsid w:val="00B36FF8"/>
    <w:rsid w:val="00B37226"/>
    <w:rsid w:val="00B3728F"/>
    <w:rsid w:val="00B37353"/>
    <w:rsid w:val="00B374A7"/>
    <w:rsid w:val="00B37CDE"/>
    <w:rsid w:val="00B404FF"/>
    <w:rsid w:val="00B40BA6"/>
    <w:rsid w:val="00B41340"/>
    <w:rsid w:val="00B41428"/>
    <w:rsid w:val="00B4178D"/>
    <w:rsid w:val="00B4216D"/>
    <w:rsid w:val="00B425CB"/>
    <w:rsid w:val="00B4292D"/>
    <w:rsid w:val="00B42EFC"/>
    <w:rsid w:val="00B430DC"/>
    <w:rsid w:val="00B4379F"/>
    <w:rsid w:val="00B437C1"/>
    <w:rsid w:val="00B4383A"/>
    <w:rsid w:val="00B43C59"/>
    <w:rsid w:val="00B43D5B"/>
    <w:rsid w:val="00B44261"/>
    <w:rsid w:val="00B4435E"/>
    <w:rsid w:val="00B447A6"/>
    <w:rsid w:val="00B44D01"/>
    <w:rsid w:val="00B44EAC"/>
    <w:rsid w:val="00B45104"/>
    <w:rsid w:val="00B453C6"/>
    <w:rsid w:val="00B455B6"/>
    <w:rsid w:val="00B45936"/>
    <w:rsid w:val="00B45AAD"/>
    <w:rsid w:val="00B45F7D"/>
    <w:rsid w:val="00B4674C"/>
    <w:rsid w:val="00B4697F"/>
    <w:rsid w:val="00B46A46"/>
    <w:rsid w:val="00B46D51"/>
    <w:rsid w:val="00B46D63"/>
    <w:rsid w:val="00B46E3C"/>
    <w:rsid w:val="00B46F75"/>
    <w:rsid w:val="00B474EB"/>
    <w:rsid w:val="00B500D1"/>
    <w:rsid w:val="00B500E0"/>
    <w:rsid w:val="00B508E4"/>
    <w:rsid w:val="00B50FF5"/>
    <w:rsid w:val="00B51087"/>
    <w:rsid w:val="00B52330"/>
    <w:rsid w:val="00B52A0D"/>
    <w:rsid w:val="00B530B1"/>
    <w:rsid w:val="00B5341F"/>
    <w:rsid w:val="00B5350C"/>
    <w:rsid w:val="00B5368E"/>
    <w:rsid w:val="00B53B44"/>
    <w:rsid w:val="00B53FFE"/>
    <w:rsid w:val="00B54BF6"/>
    <w:rsid w:val="00B54BF8"/>
    <w:rsid w:val="00B54E97"/>
    <w:rsid w:val="00B54EC9"/>
    <w:rsid w:val="00B54F4B"/>
    <w:rsid w:val="00B54FBE"/>
    <w:rsid w:val="00B5520D"/>
    <w:rsid w:val="00B5527F"/>
    <w:rsid w:val="00B55291"/>
    <w:rsid w:val="00B5558B"/>
    <w:rsid w:val="00B55D7F"/>
    <w:rsid w:val="00B55FE3"/>
    <w:rsid w:val="00B561CC"/>
    <w:rsid w:val="00B56275"/>
    <w:rsid w:val="00B56609"/>
    <w:rsid w:val="00B56704"/>
    <w:rsid w:val="00B56D17"/>
    <w:rsid w:val="00B578DC"/>
    <w:rsid w:val="00B578FC"/>
    <w:rsid w:val="00B57D4C"/>
    <w:rsid w:val="00B6000A"/>
    <w:rsid w:val="00B6041E"/>
    <w:rsid w:val="00B60478"/>
    <w:rsid w:val="00B60AAB"/>
    <w:rsid w:val="00B60EE4"/>
    <w:rsid w:val="00B613A8"/>
    <w:rsid w:val="00B6162D"/>
    <w:rsid w:val="00B6194D"/>
    <w:rsid w:val="00B61E54"/>
    <w:rsid w:val="00B627ED"/>
    <w:rsid w:val="00B631BD"/>
    <w:rsid w:val="00B63BAB"/>
    <w:rsid w:val="00B640CF"/>
    <w:rsid w:val="00B646B9"/>
    <w:rsid w:val="00B65044"/>
    <w:rsid w:val="00B6526B"/>
    <w:rsid w:val="00B65886"/>
    <w:rsid w:val="00B65BAD"/>
    <w:rsid w:val="00B65C96"/>
    <w:rsid w:val="00B65E1A"/>
    <w:rsid w:val="00B65F09"/>
    <w:rsid w:val="00B66389"/>
    <w:rsid w:val="00B66913"/>
    <w:rsid w:val="00B67011"/>
    <w:rsid w:val="00B6754E"/>
    <w:rsid w:val="00B679A2"/>
    <w:rsid w:val="00B67F02"/>
    <w:rsid w:val="00B700C6"/>
    <w:rsid w:val="00B70A07"/>
    <w:rsid w:val="00B70B95"/>
    <w:rsid w:val="00B70D02"/>
    <w:rsid w:val="00B70E26"/>
    <w:rsid w:val="00B70F78"/>
    <w:rsid w:val="00B718A2"/>
    <w:rsid w:val="00B71C39"/>
    <w:rsid w:val="00B71D7F"/>
    <w:rsid w:val="00B71E35"/>
    <w:rsid w:val="00B7257B"/>
    <w:rsid w:val="00B728C9"/>
    <w:rsid w:val="00B7294D"/>
    <w:rsid w:val="00B7321E"/>
    <w:rsid w:val="00B7369E"/>
    <w:rsid w:val="00B73CA0"/>
    <w:rsid w:val="00B73DD9"/>
    <w:rsid w:val="00B741E1"/>
    <w:rsid w:val="00B74352"/>
    <w:rsid w:val="00B746E7"/>
    <w:rsid w:val="00B754F7"/>
    <w:rsid w:val="00B7564F"/>
    <w:rsid w:val="00B75A2E"/>
    <w:rsid w:val="00B75C8D"/>
    <w:rsid w:val="00B761C7"/>
    <w:rsid w:val="00B762CD"/>
    <w:rsid w:val="00B7673C"/>
    <w:rsid w:val="00B76816"/>
    <w:rsid w:val="00B76D99"/>
    <w:rsid w:val="00B76F70"/>
    <w:rsid w:val="00B77118"/>
    <w:rsid w:val="00B77472"/>
    <w:rsid w:val="00B777E3"/>
    <w:rsid w:val="00B77831"/>
    <w:rsid w:val="00B8034F"/>
    <w:rsid w:val="00B80882"/>
    <w:rsid w:val="00B808C2"/>
    <w:rsid w:val="00B811A6"/>
    <w:rsid w:val="00B81608"/>
    <w:rsid w:val="00B81EED"/>
    <w:rsid w:val="00B8284D"/>
    <w:rsid w:val="00B82EE3"/>
    <w:rsid w:val="00B830D2"/>
    <w:rsid w:val="00B838E1"/>
    <w:rsid w:val="00B83C8D"/>
    <w:rsid w:val="00B83E96"/>
    <w:rsid w:val="00B83F3E"/>
    <w:rsid w:val="00B83FE7"/>
    <w:rsid w:val="00B84B50"/>
    <w:rsid w:val="00B84DC5"/>
    <w:rsid w:val="00B84F64"/>
    <w:rsid w:val="00B854D4"/>
    <w:rsid w:val="00B859C2"/>
    <w:rsid w:val="00B85B75"/>
    <w:rsid w:val="00B85EA1"/>
    <w:rsid w:val="00B8656D"/>
    <w:rsid w:val="00B86A60"/>
    <w:rsid w:val="00B86FD7"/>
    <w:rsid w:val="00B87822"/>
    <w:rsid w:val="00B906A9"/>
    <w:rsid w:val="00B90D09"/>
    <w:rsid w:val="00B90D12"/>
    <w:rsid w:val="00B90D44"/>
    <w:rsid w:val="00B90D56"/>
    <w:rsid w:val="00B912F7"/>
    <w:rsid w:val="00B916DB"/>
    <w:rsid w:val="00B921E8"/>
    <w:rsid w:val="00B922FC"/>
    <w:rsid w:val="00B9234F"/>
    <w:rsid w:val="00B92686"/>
    <w:rsid w:val="00B927D3"/>
    <w:rsid w:val="00B92A14"/>
    <w:rsid w:val="00B93450"/>
    <w:rsid w:val="00B935E3"/>
    <w:rsid w:val="00B939D8"/>
    <w:rsid w:val="00B9408A"/>
    <w:rsid w:val="00B943D3"/>
    <w:rsid w:val="00B94AFD"/>
    <w:rsid w:val="00B9519E"/>
    <w:rsid w:val="00B954D2"/>
    <w:rsid w:val="00B95AE0"/>
    <w:rsid w:val="00B95C3D"/>
    <w:rsid w:val="00B95DDE"/>
    <w:rsid w:val="00B95EB3"/>
    <w:rsid w:val="00B961A1"/>
    <w:rsid w:val="00B96644"/>
    <w:rsid w:val="00B96700"/>
    <w:rsid w:val="00B96A42"/>
    <w:rsid w:val="00B96E44"/>
    <w:rsid w:val="00B976B9"/>
    <w:rsid w:val="00B97B96"/>
    <w:rsid w:val="00BA0E69"/>
    <w:rsid w:val="00BA10A2"/>
    <w:rsid w:val="00BA1A7E"/>
    <w:rsid w:val="00BA1B87"/>
    <w:rsid w:val="00BA21C0"/>
    <w:rsid w:val="00BA2674"/>
    <w:rsid w:val="00BA26C2"/>
    <w:rsid w:val="00BA26CB"/>
    <w:rsid w:val="00BA2909"/>
    <w:rsid w:val="00BA3021"/>
    <w:rsid w:val="00BA3C65"/>
    <w:rsid w:val="00BA3EF2"/>
    <w:rsid w:val="00BA4BD0"/>
    <w:rsid w:val="00BA54AD"/>
    <w:rsid w:val="00BA56C5"/>
    <w:rsid w:val="00BA64B7"/>
    <w:rsid w:val="00BA68CB"/>
    <w:rsid w:val="00BA6C74"/>
    <w:rsid w:val="00BA75EA"/>
    <w:rsid w:val="00BA7749"/>
    <w:rsid w:val="00BA7B0C"/>
    <w:rsid w:val="00BA7C00"/>
    <w:rsid w:val="00BB0459"/>
    <w:rsid w:val="00BB0855"/>
    <w:rsid w:val="00BB09EF"/>
    <w:rsid w:val="00BB0CF9"/>
    <w:rsid w:val="00BB0E20"/>
    <w:rsid w:val="00BB17E3"/>
    <w:rsid w:val="00BB1A44"/>
    <w:rsid w:val="00BB266C"/>
    <w:rsid w:val="00BB28C5"/>
    <w:rsid w:val="00BB2934"/>
    <w:rsid w:val="00BB332D"/>
    <w:rsid w:val="00BB3666"/>
    <w:rsid w:val="00BB3960"/>
    <w:rsid w:val="00BB3972"/>
    <w:rsid w:val="00BB3C24"/>
    <w:rsid w:val="00BB3DC9"/>
    <w:rsid w:val="00BB3EAD"/>
    <w:rsid w:val="00BB420C"/>
    <w:rsid w:val="00BB4496"/>
    <w:rsid w:val="00BB485D"/>
    <w:rsid w:val="00BB4C36"/>
    <w:rsid w:val="00BB4CCC"/>
    <w:rsid w:val="00BB503B"/>
    <w:rsid w:val="00BB582F"/>
    <w:rsid w:val="00BB58E6"/>
    <w:rsid w:val="00BB5A70"/>
    <w:rsid w:val="00BB5C5F"/>
    <w:rsid w:val="00BB6321"/>
    <w:rsid w:val="00BB6CEA"/>
    <w:rsid w:val="00BB7124"/>
    <w:rsid w:val="00BC0554"/>
    <w:rsid w:val="00BC0576"/>
    <w:rsid w:val="00BC0927"/>
    <w:rsid w:val="00BC0CE1"/>
    <w:rsid w:val="00BC0E84"/>
    <w:rsid w:val="00BC1B09"/>
    <w:rsid w:val="00BC1BC4"/>
    <w:rsid w:val="00BC1DF3"/>
    <w:rsid w:val="00BC22BB"/>
    <w:rsid w:val="00BC2600"/>
    <w:rsid w:val="00BC268C"/>
    <w:rsid w:val="00BC28E4"/>
    <w:rsid w:val="00BC299E"/>
    <w:rsid w:val="00BC2E8F"/>
    <w:rsid w:val="00BC3346"/>
    <w:rsid w:val="00BC3754"/>
    <w:rsid w:val="00BC38EB"/>
    <w:rsid w:val="00BC392E"/>
    <w:rsid w:val="00BC3B6E"/>
    <w:rsid w:val="00BC3B97"/>
    <w:rsid w:val="00BC3D94"/>
    <w:rsid w:val="00BC3E92"/>
    <w:rsid w:val="00BC4045"/>
    <w:rsid w:val="00BC413D"/>
    <w:rsid w:val="00BC462A"/>
    <w:rsid w:val="00BC50A2"/>
    <w:rsid w:val="00BC5ABD"/>
    <w:rsid w:val="00BC5AC6"/>
    <w:rsid w:val="00BC5C62"/>
    <w:rsid w:val="00BC6006"/>
    <w:rsid w:val="00BC6021"/>
    <w:rsid w:val="00BC6447"/>
    <w:rsid w:val="00BC6B3E"/>
    <w:rsid w:val="00BC6C18"/>
    <w:rsid w:val="00BC6E08"/>
    <w:rsid w:val="00BC760D"/>
    <w:rsid w:val="00BC7796"/>
    <w:rsid w:val="00BC77ED"/>
    <w:rsid w:val="00BC7B8B"/>
    <w:rsid w:val="00BD0075"/>
    <w:rsid w:val="00BD0421"/>
    <w:rsid w:val="00BD0D6F"/>
    <w:rsid w:val="00BD1137"/>
    <w:rsid w:val="00BD129C"/>
    <w:rsid w:val="00BD160B"/>
    <w:rsid w:val="00BD163E"/>
    <w:rsid w:val="00BD1AD6"/>
    <w:rsid w:val="00BD2296"/>
    <w:rsid w:val="00BD366A"/>
    <w:rsid w:val="00BD3D87"/>
    <w:rsid w:val="00BD47A9"/>
    <w:rsid w:val="00BD48F0"/>
    <w:rsid w:val="00BD49AF"/>
    <w:rsid w:val="00BD4A6D"/>
    <w:rsid w:val="00BD4D1C"/>
    <w:rsid w:val="00BD610D"/>
    <w:rsid w:val="00BD6386"/>
    <w:rsid w:val="00BD63DB"/>
    <w:rsid w:val="00BD67FD"/>
    <w:rsid w:val="00BD6BA6"/>
    <w:rsid w:val="00BD71C5"/>
    <w:rsid w:val="00BD749B"/>
    <w:rsid w:val="00BD750B"/>
    <w:rsid w:val="00BD76AF"/>
    <w:rsid w:val="00BD76E6"/>
    <w:rsid w:val="00BD78D5"/>
    <w:rsid w:val="00BD7C66"/>
    <w:rsid w:val="00BE0011"/>
    <w:rsid w:val="00BE03FC"/>
    <w:rsid w:val="00BE0C5B"/>
    <w:rsid w:val="00BE1341"/>
    <w:rsid w:val="00BE15A0"/>
    <w:rsid w:val="00BE17D8"/>
    <w:rsid w:val="00BE1BED"/>
    <w:rsid w:val="00BE1C05"/>
    <w:rsid w:val="00BE247E"/>
    <w:rsid w:val="00BE287C"/>
    <w:rsid w:val="00BE2A75"/>
    <w:rsid w:val="00BE3006"/>
    <w:rsid w:val="00BE30A6"/>
    <w:rsid w:val="00BE3294"/>
    <w:rsid w:val="00BE3632"/>
    <w:rsid w:val="00BE3B9A"/>
    <w:rsid w:val="00BE47D4"/>
    <w:rsid w:val="00BE47E8"/>
    <w:rsid w:val="00BE49D5"/>
    <w:rsid w:val="00BE52CA"/>
    <w:rsid w:val="00BE52F5"/>
    <w:rsid w:val="00BE5676"/>
    <w:rsid w:val="00BE5A11"/>
    <w:rsid w:val="00BE627B"/>
    <w:rsid w:val="00BE643C"/>
    <w:rsid w:val="00BE6812"/>
    <w:rsid w:val="00BE6F2A"/>
    <w:rsid w:val="00BE7480"/>
    <w:rsid w:val="00BE79F3"/>
    <w:rsid w:val="00BF001A"/>
    <w:rsid w:val="00BF0055"/>
    <w:rsid w:val="00BF059B"/>
    <w:rsid w:val="00BF072F"/>
    <w:rsid w:val="00BF0753"/>
    <w:rsid w:val="00BF076E"/>
    <w:rsid w:val="00BF14A8"/>
    <w:rsid w:val="00BF19B0"/>
    <w:rsid w:val="00BF1BAC"/>
    <w:rsid w:val="00BF1DCB"/>
    <w:rsid w:val="00BF2481"/>
    <w:rsid w:val="00BF28E3"/>
    <w:rsid w:val="00BF2BD1"/>
    <w:rsid w:val="00BF2CA0"/>
    <w:rsid w:val="00BF2CD7"/>
    <w:rsid w:val="00BF2EBF"/>
    <w:rsid w:val="00BF2FA9"/>
    <w:rsid w:val="00BF33FC"/>
    <w:rsid w:val="00BF4054"/>
    <w:rsid w:val="00BF50E7"/>
    <w:rsid w:val="00BF552D"/>
    <w:rsid w:val="00BF57A2"/>
    <w:rsid w:val="00BF5BEB"/>
    <w:rsid w:val="00BF5C85"/>
    <w:rsid w:val="00BF6425"/>
    <w:rsid w:val="00BF65EA"/>
    <w:rsid w:val="00BF6C5A"/>
    <w:rsid w:val="00BF79BA"/>
    <w:rsid w:val="00BF7FFD"/>
    <w:rsid w:val="00C000D8"/>
    <w:rsid w:val="00C000DE"/>
    <w:rsid w:val="00C0034F"/>
    <w:rsid w:val="00C00641"/>
    <w:rsid w:val="00C016E2"/>
    <w:rsid w:val="00C02CD5"/>
    <w:rsid w:val="00C0303B"/>
    <w:rsid w:val="00C033E4"/>
    <w:rsid w:val="00C03537"/>
    <w:rsid w:val="00C03653"/>
    <w:rsid w:val="00C03EEC"/>
    <w:rsid w:val="00C04138"/>
    <w:rsid w:val="00C0474A"/>
    <w:rsid w:val="00C04E3D"/>
    <w:rsid w:val="00C05129"/>
    <w:rsid w:val="00C0571E"/>
    <w:rsid w:val="00C05B27"/>
    <w:rsid w:val="00C05C0C"/>
    <w:rsid w:val="00C05DCE"/>
    <w:rsid w:val="00C05E02"/>
    <w:rsid w:val="00C06126"/>
    <w:rsid w:val="00C06885"/>
    <w:rsid w:val="00C068F0"/>
    <w:rsid w:val="00C06C96"/>
    <w:rsid w:val="00C06F6B"/>
    <w:rsid w:val="00C06F8D"/>
    <w:rsid w:val="00C071FA"/>
    <w:rsid w:val="00C07365"/>
    <w:rsid w:val="00C0748E"/>
    <w:rsid w:val="00C10228"/>
    <w:rsid w:val="00C104A1"/>
    <w:rsid w:val="00C1070F"/>
    <w:rsid w:val="00C10AC7"/>
    <w:rsid w:val="00C1121D"/>
    <w:rsid w:val="00C114C2"/>
    <w:rsid w:val="00C11595"/>
    <w:rsid w:val="00C11A4E"/>
    <w:rsid w:val="00C11F12"/>
    <w:rsid w:val="00C11F6F"/>
    <w:rsid w:val="00C121D0"/>
    <w:rsid w:val="00C12210"/>
    <w:rsid w:val="00C1231E"/>
    <w:rsid w:val="00C12504"/>
    <w:rsid w:val="00C12627"/>
    <w:rsid w:val="00C12D36"/>
    <w:rsid w:val="00C1383C"/>
    <w:rsid w:val="00C13B05"/>
    <w:rsid w:val="00C13D56"/>
    <w:rsid w:val="00C13EC0"/>
    <w:rsid w:val="00C13FEB"/>
    <w:rsid w:val="00C14950"/>
    <w:rsid w:val="00C149AE"/>
    <w:rsid w:val="00C14D2C"/>
    <w:rsid w:val="00C14F9D"/>
    <w:rsid w:val="00C15062"/>
    <w:rsid w:val="00C158CE"/>
    <w:rsid w:val="00C15A76"/>
    <w:rsid w:val="00C15ACE"/>
    <w:rsid w:val="00C16062"/>
    <w:rsid w:val="00C161A9"/>
    <w:rsid w:val="00C165B7"/>
    <w:rsid w:val="00C166DB"/>
    <w:rsid w:val="00C16CD6"/>
    <w:rsid w:val="00C1719F"/>
    <w:rsid w:val="00C1781E"/>
    <w:rsid w:val="00C17DE2"/>
    <w:rsid w:val="00C17EC1"/>
    <w:rsid w:val="00C2015E"/>
    <w:rsid w:val="00C202B5"/>
    <w:rsid w:val="00C20322"/>
    <w:rsid w:val="00C20E73"/>
    <w:rsid w:val="00C2125C"/>
    <w:rsid w:val="00C2139B"/>
    <w:rsid w:val="00C21497"/>
    <w:rsid w:val="00C21C48"/>
    <w:rsid w:val="00C2214F"/>
    <w:rsid w:val="00C22179"/>
    <w:rsid w:val="00C22357"/>
    <w:rsid w:val="00C22603"/>
    <w:rsid w:val="00C229F0"/>
    <w:rsid w:val="00C23014"/>
    <w:rsid w:val="00C230EA"/>
    <w:rsid w:val="00C23420"/>
    <w:rsid w:val="00C23B4B"/>
    <w:rsid w:val="00C24669"/>
    <w:rsid w:val="00C249F1"/>
    <w:rsid w:val="00C24F2A"/>
    <w:rsid w:val="00C251B0"/>
    <w:rsid w:val="00C2550C"/>
    <w:rsid w:val="00C258C3"/>
    <w:rsid w:val="00C25C9C"/>
    <w:rsid w:val="00C25EA2"/>
    <w:rsid w:val="00C25FA9"/>
    <w:rsid w:val="00C25FB2"/>
    <w:rsid w:val="00C2638C"/>
    <w:rsid w:val="00C26CFA"/>
    <w:rsid w:val="00C26D7B"/>
    <w:rsid w:val="00C26DE0"/>
    <w:rsid w:val="00C26E4F"/>
    <w:rsid w:val="00C26FEC"/>
    <w:rsid w:val="00C3052E"/>
    <w:rsid w:val="00C30736"/>
    <w:rsid w:val="00C30DF3"/>
    <w:rsid w:val="00C30EAD"/>
    <w:rsid w:val="00C313B6"/>
    <w:rsid w:val="00C3181C"/>
    <w:rsid w:val="00C31B02"/>
    <w:rsid w:val="00C31C2F"/>
    <w:rsid w:val="00C31E41"/>
    <w:rsid w:val="00C31F06"/>
    <w:rsid w:val="00C323FA"/>
    <w:rsid w:val="00C32983"/>
    <w:rsid w:val="00C32A88"/>
    <w:rsid w:val="00C3372E"/>
    <w:rsid w:val="00C33854"/>
    <w:rsid w:val="00C339AD"/>
    <w:rsid w:val="00C33DA0"/>
    <w:rsid w:val="00C34402"/>
    <w:rsid w:val="00C34DB6"/>
    <w:rsid w:val="00C35363"/>
    <w:rsid w:val="00C35893"/>
    <w:rsid w:val="00C359EA"/>
    <w:rsid w:val="00C35C4A"/>
    <w:rsid w:val="00C35E32"/>
    <w:rsid w:val="00C36162"/>
    <w:rsid w:val="00C3693F"/>
    <w:rsid w:val="00C36983"/>
    <w:rsid w:val="00C36ABD"/>
    <w:rsid w:val="00C36DD6"/>
    <w:rsid w:val="00C36EA5"/>
    <w:rsid w:val="00C36EC7"/>
    <w:rsid w:val="00C3700C"/>
    <w:rsid w:val="00C3711E"/>
    <w:rsid w:val="00C37613"/>
    <w:rsid w:val="00C37B9D"/>
    <w:rsid w:val="00C37BD4"/>
    <w:rsid w:val="00C406BC"/>
    <w:rsid w:val="00C40AAF"/>
    <w:rsid w:val="00C40DBD"/>
    <w:rsid w:val="00C40FDB"/>
    <w:rsid w:val="00C4145C"/>
    <w:rsid w:val="00C4155B"/>
    <w:rsid w:val="00C41756"/>
    <w:rsid w:val="00C41B22"/>
    <w:rsid w:val="00C423A2"/>
    <w:rsid w:val="00C42477"/>
    <w:rsid w:val="00C4276B"/>
    <w:rsid w:val="00C427FD"/>
    <w:rsid w:val="00C42AD0"/>
    <w:rsid w:val="00C42EBB"/>
    <w:rsid w:val="00C42F3D"/>
    <w:rsid w:val="00C43898"/>
    <w:rsid w:val="00C43F27"/>
    <w:rsid w:val="00C44225"/>
    <w:rsid w:val="00C44296"/>
    <w:rsid w:val="00C44BD1"/>
    <w:rsid w:val="00C45603"/>
    <w:rsid w:val="00C4568F"/>
    <w:rsid w:val="00C46023"/>
    <w:rsid w:val="00C4607A"/>
    <w:rsid w:val="00C46735"/>
    <w:rsid w:val="00C46B3C"/>
    <w:rsid w:val="00C46B5F"/>
    <w:rsid w:val="00C47161"/>
    <w:rsid w:val="00C471A5"/>
    <w:rsid w:val="00C4738F"/>
    <w:rsid w:val="00C47855"/>
    <w:rsid w:val="00C47CEB"/>
    <w:rsid w:val="00C47EFB"/>
    <w:rsid w:val="00C47F74"/>
    <w:rsid w:val="00C50222"/>
    <w:rsid w:val="00C5130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4EF"/>
    <w:rsid w:val="00C54878"/>
    <w:rsid w:val="00C549A4"/>
    <w:rsid w:val="00C549DF"/>
    <w:rsid w:val="00C54E60"/>
    <w:rsid w:val="00C54EF1"/>
    <w:rsid w:val="00C55149"/>
    <w:rsid w:val="00C55489"/>
    <w:rsid w:val="00C5556E"/>
    <w:rsid w:val="00C55DD1"/>
    <w:rsid w:val="00C56765"/>
    <w:rsid w:val="00C56C09"/>
    <w:rsid w:val="00C57F5C"/>
    <w:rsid w:val="00C606BD"/>
    <w:rsid w:val="00C6074A"/>
    <w:rsid w:val="00C607FD"/>
    <w:rsid w:val="00C611BD"/>
    <w:rsid w:val="00C612E7"/>
    <w:rsid w:val="00C61B40"/>
    <w:rsid w:val="00C61B52"/>
    <w:rsid w:val="00C61E56"/>
    <w:rsid w:val="00C6215A"/>
    <w:rsid w:val="00C6248B"/>
    <w:rsid w:val="00C6291B"/>
    <w:rsid w:val="00C6391A"/>
    <w:rsid w:val="00C63E07"/>
    <w:rsid w:val="00C64027"/>
    <w:rsid w:val="00C644BD"/>
    <w:rsid w:val="00C646F9"/>
    <w:rsid w:val="00C647BD"/>
    <w:rsid w:val="00C64BBA"/>
    <w:rsid w:val="00C651FC"/>
    <w:rsid w:val="00C673C6"/>
    <w:rsid w:val="00C6742B"/>
    <w:rsid w:val="00C6761C"/>
    <w:rsid w:val="00C67B01"/>
    <w:rsid w:val="00C67EF4"/>
    <w:rsid w:val="00C7025C"/>
    <w:rsid w:val="00C7041F"/>
    <w:rsid w:val="00C705F0"/>
    <w:rsid w:val="00C7078E"/>
    <w:rsid w:val="00C70CA7"/>
    <w:rsid w:val="00C710BB"/>
    <w:rsid w:val="00C718B9"/>
    <w:rsid w:val="00C71F0E"/>
    <w:rsid w:val="00C72330"/>
    <w:rsid w:val="00C7261E"/>
    <w:rsid w:val="00C7279B"/>
    <w:rsid w:val="00C728AD"/>
    <w:rsid w:val="00C72DE3"/>
    <w:rsid w:val="00C73128"/>
    <w:rsid w:val="00C734FE"/>
    <w:rsid w:val="00C73569"/>
    <w:rsid w:val="00C735BC"/>
    <w:rsid w:val="00C738D2"/>
    <w:rsid w:val="00C73AD2"/>
    <w:rsid w:val="00C73AE7"/>
    <w:rsid w:val="00C73B13"/>
    <w:rsid w:val="00C74210"/>
    <w:rsid w:val="00C752D6"/>
    <w:rsid w:val="00C75729"/>
    <w:rsid w:val="00C75820"/>
    <w:rsid w:val="00C759BB"/>
    <w:rsid w:val="00C75A99"/>
    <w:rsid w:val="00C75CD3"/>
    <w:rsid w:val="00C764DF"/>
    <w:rsid w:val="00C7692E"/>
    <w:rsid w:val="00C76B11"/>
    <w:rsid w:val="00C76CDE"/>
    <w:rsid w:val="00C76E1D"/>
    <w:rsid w:val="00C77441"/>
    <w:rsid w:val="00C774ED"/>
    <w:rsid w:val="00C77943"/>
    <w:rsid w:val="00C779CD"/>
    <w:rsid w:val="00C77ABA"/>
    <w:rsid w:val="00C77D5E"/>
    <w:rsid w:val="00C77DA4"/>
    <w:rsid w:val="00C77E42"/>
    <w:rsid w:val="00C80384"/>
    <w:rsid w:val="00C8099D"/>
    <w:rsid w:val="00C80B48"/>
    <w:rsid w:val="00C80C96"/>
    <w:rsid w:val="00C81F06"/>
    <w:rsid w:val="00C81FEB"/>
    <w:rsid w:val="00C82D3D"/>
    <w:rsid w:val="00C82E29"/>
    <w:rsid w:val="00C83593"/>
    <w:rsid w:val="00C835B3"/>
    <w:rsid w:val="00C8361A"/>
    <w:rsid w:val="00C83801"/>
    <w:rsid w:val="00C83A92"/>
    <w:rsid w:val="00C83F56"/>
    <w:rsid w:val="00C84063"/>
    <w:rsid w:val="00C84A5E"/>
    <w:rsid w:val="00C84A72"/>
    <w:rsid w:val="00C84B1E"/>
    <w:rsid w:val="00C84B24"/>
    <w:rsid w:val="00C84C8F"/>
    <w:rsid w:val="00C84C97"/>
    <w:rsid w:val="00C84F16"/>
    <w:rsid w:val="00C85B54"/>
    <w:rsid w:val="00C85BA1"/>
    <w:rsid w:val="00C860A2"/>
    <w:rsid w:val="00C86346"/>
    <w:rsid w:val="00C864A3"/>
    <w:rsid w:val="00C8681F"/>
    <w:rsid w:val="00C86AE1"/>
    <w:rsid w:val="00C87177"/>
    <w:rsid w:val="00C878BF"/>
    <w:rsid w:val="00C87E4B"/>
    <w:rsid w:val="00C906D4"/>
    <w:rsid w:val="00C9074A"/>
    <w:rsid w:val="00C90C09"/>
    <w:rsid w:val="00C91173"/>
    <w:rsid w:val="00C91474"/>
    <w:rsid w:val="00C914BA"/>
    <w:rsid w:val="00C9188C"/>
    <w:rsid w:val="00C91A2F"/>
    <w:rsid w:val="00C9274C"/>
    <w:rsid w:val="00C92CC0"/>
    <w:rsid w:val="00C92E84"/>
    <w:rsid w:val="00C930C8"/>
    <w:rsid w:val="00C930C9"/>
    <w:rsid w:val="00C9371A"/>
    <w:rsid w:val="00C93843"/>
    <w:rsid w:val="00C93947"/>
    <w:rsid w:val="00C93F2A"/>
    <w:rsid w:val="00C9460A"/>
    <w:rsid w:val="00C95281"/>
    <w:rsid w:val="00C95A24"/>
    <w:rsid w:val="00C96308"/>
    <w:rsid w:val="00C963D7"/>
    <w:rsid w:val="00C967CD"/>
    <w:rsid w:val="00C96A9C"/>
    <w:rsid w:val="00C96E7A"/>
    <w:rsid w:val="00C96E7D"/>
    <w:rsid w:val="00C96FBB"/>
    <w:rsid w:val="00C9725B"/>
    <w:rsid w:val="00C9739B"/>
    <w:rsid w:val="00C9767B"/>
    <w:rsid w:val="00C97930"/>
    <w:rsid w:val="00C97A85"/>
    <w:rsid w:val="00CA0085"/>
    <w:rsid w:val="00CA0215"/>
    <w:rsid w:val="00CA087E"/>
    <w:rsid w:val="00CA0EF5"/>
    <w:rsid w:val="00CA10C3"/>
    <w:rsid w:val="00CA10FD"/>
    <w:rsid w:val="00CA1824"/>
    <w:rsid w:val="00CA183A"/>
    <w:rsid w:val="00CA1DCA"/>
    <w:rsid w:val="00CA238A"/>
    <w:rsid w:val="00CA23BA"/>
    <w:rsid w:val="00CA2560"/>
    <w:rsid w:val="00CA27A1"/>
    <w:rsid w:val="00CA2834"/>
    <w:rsid w:val="00CA360E"/>
    <w:rsid w:val="00CA48A2"/>
    <w:rsid w:val="00CA4A23"/>
    <w:rsid w:val="00CA5097"/>
    <w:rsid w:val="00CA5624"/>
    <w:rsid w:val="00CA609F"/>
    <w:rsid w:val="00CA625C"/>
    <w:rsid w:val="00CA64DD"/>
    <w:rsid w:val="00CA6596"/>
    <w:rsid w:val="00CA6792"/>
    <w:rsid w:val="00CA699F"/>
    <w:rsid w:val="00CA6C11"/>
    <w:rsid w:val="00CA725C"/>
    <w:rsid w:val="00CA739E"/>
    <w:rsid w:val="00CA7738"/>
    <w:rsid w:val="00CA7BF0"/>
    <w:rsid w:val="00CB0596"/>
    <w:rsid w:val="00CB0791"/>
    <w:rsid w:val="00CB0802"/>
    <w:rsid w:val="00CB0C55"/>
    <w:rsid w:val="00CB0CFC"/>
    <w:rsid w:val="00CB0D57"/>
    <w:rsid w:val="00CB0FAD"/>
    <w:rsid w:val="00CB1142"/>
    <w:rsid w:val="00CB1BD8"/>
    <w:rsid w:val="00CB1D82"/>
    <w:rsid w:val="00CB1EAE"/>
    <w:rsid w:val="00CB216A"/>
    <w:rsid w:val="00CB2694"/>
    <w:rsid w:val="00CB2F67"/>
    <w:rsid w:val="00CB364C"/>
    <w:rsid w:val="00CB3677"/>
    <w:rsid w:val="00CB3CBB"/>
    <w:rsid w:val="00CB44EB"/>
    <w:rsid w:val="00CB44F5"/>
    <w:rsid w:val="00CB4B5D"/>
    <w:rsid w:val="00CB5293"/>
    <w:rsid w:val="00CB531D"/>
    <w:rsid w:val="00CB5EFA"/>
    <w:rsid w:val="00CB63A1"/>
    <w:rsid w:val="00CB72BC"/>
    <w:rsid w:val="00CB73AF"/>
    <w:rsid w:val="00CB7E4F"/>
    <w:rsid w:val="00CC03B4"/>
    <w:rsid w:val="00CC09D5"/>
    <w:rsid w:val="00CC12B2"/>
    <w:rsid w:val="00CC20EA"/>
    <w:rsid w:val="00CC228B"/>
    <w:rsid w:val="00CC295F"/>
    <w:rsid w:val="00CC2E8B"/>
    <w:rsid w:val="00CC32E1"/>
    <w:rsid w:val="00CC3E0A"/>
    <w:rsid w:val="00CC4700"/>
    <w:rsid w:val="00CC4873"/>
    <w:rsid w:val="00CC496D"/>
    <w:rsid w:val="00CC5185"/>
    <w:rsid w:val="00CC54D9"/>
    <w:rsid w:val="00CC595C"/>
    <w:rsid w:val="00CC5B62"/>
    <w:rsid w:val="00CC5F1B"/>
    <w:rsid w:val="00CC5F3D"/>
    <w:rsid w:val="00CC61C2"/>
    <w:rsid w:val="00CC6898"/>
    <w:rsid w:val="00CC7127"/>
    <w:rsid w:val="00CC73BD"/>
    <w:rsid w:val="00CD021C"/>
    <w:rsid w:val="00CD12A4"/>
    <w:rsid w:val="00CD1321"/>
    <w:rsid w:val="00CD1BC5"/>
    <w:rsid w:val="00CD1CE9"/>
    <w:rsid w:val="00CD1E88"/>
    <w:rsid w:val="00CD1F16"/>
    <w:rsid w:val="00CD2133"/>
    <w:rsid w:val="00CD239B"/>
    <w:rsid w:val="00CD2C29"/>
    <w:rsid w:val="00CD2E8A"/>
    <w:rsid w:val="00CD324D"/>
    <w:rsid w:val="00CD390E"/>
    <w:rsid w:val="00CD3D57"/>
    <w:rsid w:val="00CD4398"/>
    <w:rsid w:val="00CD4485"/>
    <w:rsid w:val="00CD46EB"/>
    <w:rsid w:val="00CD4922"/>
    <w:rsid w:val="00CD4BDB"/>
    <w:rsid w:val="00CD4D86"/>
    <w:rsid w:val="00CD4DF9"/>
    <w:rsid w:val="00CD5741"/>
    <w:rsid w:val="00CD57ED"/>
    <w:rsid w:val="00CD5EF8"/>
    <w:rsid w:val="00CD6079"/>
    <w:rsid w:val="00CD60D5"/>
    <w:rsid w:val="00CD6546"/>
    <w:rsid w:val="00CD6809"/>
    <w:rsid w:val="00CD7800"/>
    <w:rsid w:val="00CE0378"/>
    <w:rsid w:val="00CE04B7"/>
    <w:rsid w:val="00CE0A18"/>
    <w:rsid w:val="00CE0F75"/>
    <w:rsid w:val="00CE0FEB"/>
    <w:rsid w:val="00CE1318"/>
    <w:rsid w:val="00CE13CB"/>
    <w:rsid w:val="00CE21D3"/>
    <w:rsid w:val="00CE23BC"/>
    <w:rsid w:val="00CE2A11"/>
    <w:rsid w:val="00CE2AA6"/>
    <w:rsid w:val="00CE2C06"/>
    <w:rsid w:val="00CE3319"/>
    <w:rsid w:val="00CE345E"/>
    <w:rsid w:val="00CE3D14"/>
    <w:rsid w:val="00CE3ECB"/>
    <w:rsid w:val="00CE5747"/>
    <w:rsid w:val="00CE5961"/>
    <w:rsid w:val="00CE5DD0"/>
    <w:rsid w:val="00CE62FD"/>
    <w:rsid w:val="00CE6A21"/>
    <w:rsid w:val="00CE72C2"/>
    <w:rsid w:val="00CE72D9"/>
    <w:rsid w:val="00CE7617"/>
    <w:rsid w:val="00CE7658"/>
    <w:rsid w:val="00CE773F"/>
    <w:rsid w:val="00CE7CBB"/>
    <w:rsid w:val="00CE7D4E"/>
    <w:rsid w:val="00CE7E24"/>
    <w:rsid w:val="00CF023C"/>
    <w:rsid w:val="00CF072F"/>
    <w:rsid w:val="00CF08F4"/>
    <w:rsid w:val="00CF0948"/>
    <w:rsid w:val="00CF10D8"/>
    <w:rsid w:val="00CF1835"/>
    <w:rsid w:val="00CF1BA0"/>
    <w:rsid w:val="00CF21B5"/>
    <w:rsid w:val="00CF249F"/>
    <w:rsid w:val="00CF27ED"/>
    <w:rsid w:val="00CF2CA0"/>
    <w:rsid w:val="00CF2D73"/>
    <w:rsid w:val="00CF35DD"/>
    <w:rsid w:val="00CF3824"/>
    <w:rsid w:val="00CF403B"/>
    <w:rsid w:val="00CF4212"/>
    <w:rsid w:val="00CF448F"/>
    <w:rsid w:val="00CF4DF0"/>
    <w:rsid w:val="00CF6A22"/>
    <w:rsid w:val="00CF6AAF"/>
    <w:rsid w:val="00CF6C17"/>
    <w:rsid w:val="00CF715D"/>
    <w:rsid w:val="00CF7CCE"/>
    <w:rsid w:val="00D0009C"/>
    <w:rsid w:val="00D00B30"/>
    <w:rsid w:val="00D00F39"/>
    <w:rsid w:val="00D0125C"/>
    <w:rsid w:val="00D0135C"/>
    <w:rsid w:val="00D01550"/>
    <w:rsid w:val="00D015DD"/>
    <w:rsid w:val="00D015EE"/>
    <w:rsid w:val="00D017AF"/>
    <w:rsid w:val="00D02040"/>
    <w:rsid w:val="00D020A4"/>
    <w:rsid w:val="00D02810"/>
    <w:rsid w:val="00D02A85"/>
    <w:rsid w:val="00D02DBA"/>
    <w:rsid w:val="00D02EB4"/>
    <w:rsid w:val="00D03646"/>
    <w:rsid w:val="00D038E1"/>
    <w:rsid w:val="00D04A5D"/>
    <w:rsid w:val="00D04B5B"/>
    <w:rsid w:val="00D04D73"/>
    <w:rsid w:val="00D0524D"/>
    <w:rsid w:val="00D061C3"/>
    <w:rsid w:val="00D076AB"/>
    <w:rsid w:val="00D07975"/>
    <w:rsid w:val="00D079D4"/>
    <w:rsid w:val="00D07A0A"/>
    <w:rsid w:val="00D07AE8"/>
    <w:rsid w:val="00D07E4D"/>
    <w:rsid w:val="00D103D0"/>
    <w:rsid w:val="00D1062B"/>
    <w:rsid w:val="00D10E95"/>
    <w:rsid w:val="00D11515"/>
    <w:rsid w:val="00D11558"/>
    <w:rsid w:val="00D115D4"/>
    <w:rsid w:val="00D117FA"/>
    <w:rsid w:val="00D11DE9"/>
    <w:rsid w:val="00D11E6C"/>
    <w:rsid w:val="00D12048"/>
    <w:rsid w:val="00D122DD"/>
    <w:rsid w:val="00D123B1"/>
    <w:rsid w:val="00D134AB"/>
    <w:rsid w:val="00D13510"/>
    <w:rsid w:val="00D139E9"/>
    <w:rsid w:val="00D13AC9"/>
    <w:rsid w:val="00D13D54"/>
    <w:rsid w:val="00D1435B"/>
    <w:rsid w:val="00D14770"/>
    <w:rsid w:val="00D14F01"/>
    <w:rsid w:val="00D150C9"/>
    <w:rsid w:val="00D152E1"/>
    <w:rsid w:val="00D1546F"/>
    <w:rsid w:val="00D1565C"/>
    <w:rsid w:val="00D15CE2"/>
    <w:rsid w:val="00D15D73"/>
    <w:rsid w:val="00D15DE2"/>
    <w:rsid w:val="00D16108"/>
    <w:rsid w:val="00D168B4"/>
    <w:rsid w:val="00D16A48"/>
    <w:rsid w:val="00D17E20"/>
    <w:rsid w:val="00D206E6"/>
    <w:rsid w:val="00D20805"/>
    <w:rsid w:val="00D20E16"/>
    <w:rsid w:val="00D20E6C"/>
    <w:rsid w:val="00D21562"/>
    <w:rsid w:val="00D2165B"/>
    <w:rsid w:val="00D218B7"/>
    <w:rsid w:val="00D21B7A"/>
    <w:rsid w:val="00D21BED"/>
    <w:rsid w:val="00D22D00"/>
    <w:rsid w:val="00D23AFA"/>
    <w:rsid w:val="00D23EE4"/>
    <w:rsid w:val="00D246CF"/>
    <w:rsid w:val="00D25A9F"/>
    <w:rsid w:val="00D2605B"/>
    <w:rsid w:val="00D260B0"/>
    <w:rsid w:val="00D26140"/>
    <w:rsid w:val="00D26454"/>
    <w:rsid w:val="00D26F60"/>
    <w:rsid w:val="00D272D7"/>
    <w:rsid w:val="00D273F9"/>
    <w:rsid w:val="00D27A12"/>
    <w:rsid w:val="00D27E89"/>
    <w:rsid w:val="00D3049A"/>
    <w:rsid w:val="00D30644"/>
    <w:rsid w:val="00D30808"/>
    <w:rsid w:val="00D308B6"/>
    <w:rsid w:val="00D30A83"/>
    <w:rsid w:val="00D31027"/>
    <w:rsid w:val="00D31041"/>
    <w:rsid w:val="00D31F69"/>
    <w:rsid w:val="00D322F2"/>
    <w:rsid w:val="00D32447"/>
    <w:rsid w:val="00D32A2B"/>
    <w:rsid w:val="00D32BA8"/>
    <w:rsid w:val="00D33356"/>
    <w:rsid w:val="00D33629"/>
    <w:rsid w:val="00D33B1D"/>
    <w:rsid w:val="00D33CA1"/>
    <w:rsid w:val="00D34360"/>
    <w:rsid w:val="00D345C4"/>
    <w:rsid w:val="00D348FF"/>
    <w:rsid w:val="00D34B1B"/>
    <w:rsid w:val="00D34F7D"/>
    <w:rsid w:val="00D358FF"/>
    <w:rsid w:val="00D35AF5"/>
    <w:rsid w:val="00D35ED7"/>
    <w:rsid w:val="00D36BF9"/>
    <w:rsid w:val="00D36C38"/>
    <w:rsid w:val="00D36C54"/>
    <w:rsid w:val="00D36ED6"/>
    <w:rsid w:val="00D372EC"/>
    <w:rsid w:val="00D37354"/>
    <w:rsid w:val="00D3741A"/>
    <w:rsid w:val="00D37938"/>
    <w:rsid w:val="00D37FAF"/>
    <w:rsid w:val="00D4010B"/>
    <w:rsid w:val="00D404E9"/>
    <w:rsid w:val="00D40C0F"/>
    <w:rsid w:val="00D40D28"/>
    <w:rsid w:val="00D40DB8"/>
    <w:rsid w:val="00D40DE4"/>
    <w:rsid w:val="00D40FDE"/>
    <w:rsid w:val="00D413D4"/>
    <w:rsid w:val="00D41474"/>
    <w:rsid w:val="00D4159A"/>
    <w:rsid w:val="00D416B3"/>
    <w:rsid w:val="00D421CC"/>
    <w:rsid w:val="00D4225C"/>
    <w:rsid w:val="00D4275C"/>
    <w:rsid w:val="00D42863"/>
    <w:rsid w:val="00D428F3"/>
    <w:rsid w:val="00D43009"/>
    <w:rsid w:val="00D4374B"/>
    <w:rsid w:val="00D43A2D"/>
    <w:rsid w:val="00D43E71"/>
    <w:rsid w:val="00D43F15"/>
    <w:rsid w:val="00D44496"/>
    <w:rsid w:val="00D448AC"/>
    <w:rsid w:val="00D44C64"/>
    <w:rsid w:val="00D44FCB"/>
    <w:rsid w:val="00D45272"/>
    <w:rsid w:val="00D453E4"/>
    <w:rsid w:val="00D45487"/>
    <w:rsid w:val="00D456BE"/>
    <w:rsid w:val="00D4577E"/>
    <w:rsid w:val="00D459CB"/>
    <w:rsid w:val="00D45D10"/>
    <w:rsid w:val="00D45ECA"/>
    <w:rsid w:val="00D46138"/>
    <w:rsid w:val="00D463B6"/>
    <w:rsid w:val="00D466B5"/>
    <w:rsid w:val="00D468AA"/>
    <w:rsid w:val="00D46AAB"/>
    <w:rsid w:val="00D46E55"/>
    <w:rsid w:val="00D46F40"/>
    <w:rsid w:val="00D4726C"/>
    <w:rsid w:val="00D47600"/>
    <w:rsid w:val="00D47744"/>
    <w:rsid w:val="00D47D3B"/>
    <w:rsid w:val="00D50010"/>
    <w:rsid w:val="00D5001B"/>
    <w:rsid w:val="00D501C8"/>
    <w:rsid w:val="00D50308"/>
    <w:rsid w:val="00D50312"/>
    <w:rsid w:val="00D506D1"/>
    <w:rsid w:val="00D50EF5"/>
    <w:rsid w:val="00D51FFC"/>
    <w:rsid w:val="00D521CC"/>
    <w:rsid w:val="00D5235B"/>
    <w:rsid w:val="00D52A9A"/>
    <w:rsid w:val="00D53206"/>
    <w:rsid w:val="00D53269"/>
    <w:rsid w:val="00D532F8"/>
    <w:rsid w:val="00D53A9C"/>
    <w:rsid w:val="00D53AEB"/>
    <w:rsid w:val="00D53E5E"/>
    <w:rsid w:val="00D54340"/>
    <w:rsid w:val="00D543BE"/>
    <w:rsid w:val="00D54950"/>
    <w:rsid w:val="00D54E3D"/>
    <w:rsid w:val="00D55223"/>
    <w:rsid w:val="00D552AC"/>
    <w:rsid w:val="00D55BA6"/>
    <w:rsid w:val="00D55D7F"/>
    <w:rsid w:val="00D55E12"/>
    <w:rsid w:val="00D5609A"/>
    <w:rsid w:val="00D5617A"/>
    <w:rsid w:val="00D56511"/>
    <w:rsid w:val="00D5657D"/>
    <w:rsid w:val="00D56613"/>
    <w:rsid w:val="00D56A91"/>
    <w:rsid w:val="00D56C07"/>
    <w:rsid w:val="00D572E2"/>
    <w:rsid w:val="00D573DB"/>
    <w:rsid w:val="00D57556"/>
    <w:rsid w:val="00D5762D"/>
    <w:rsid w:val="00D5798F"/>
    <w:rsid w:val="00D57E84"/>
    <w:rsid w:val="00D602CC"/>
    <w:rsid w:val="00D602E5"/>
    <w:rsid w:val="00D606F4"/>
    <w:rsid w:val="00D60B0B"/>
    <w:rsid w:val="00D610E1"/>
    <w:rsid w:val="00D61152"/>
    <w:rsid w:val="00D61B91"/>
    <w:rsid w:val="00D61FC3"/>
    <w:rsid w:val="00D6220B"/>
    <w:rsid w:val="00D6301E"/>
    <w:rsid w:val="00D632DC"/>
    <w:rsid w:val="00D63620"/>
    <w:rsid w:val="00D6394A"/>
    <w:rsid w:val="00D64002"/>
    <w:rsid w:val="00D640E4"/>
    <w:rsid w:val="00D641BF"/>
    <w:rsid w:val="00D642B8"/>
    <w:rsid w:val="00D6461A"/>
    <w:rsid w:val="00D6479C"/>
    <w:rsid w:val="00D647A0"/>
    <w:rsid w:val="00D647BD"/>
    <w:rsid w:val="00D64EA4"/>
    <w:rsid w:val="00D658B1"/>
    <w:rsid w:val="00D66749"/>
    <w:rsid w:val="00D669A1"/>
    <w:rsid w:val="00D6730B"/>
    <w:rsid w:val="00D67374"/>
    <w:rsid w:val="00D67742"/>
    <w:rsid w:val="00D67899"/>
    <w:rsid w:val="00D6796A"/>
    <w:rsid w:val="00D67B0B"/>
    <w:rsid w:val="00D67E26"/>
    <w:rsid w:val="00D67EDF"/>
    <w:rsid w:val="00D70250"/>
    <w:rsid w:val="00D7070E"/>
    <w:rsid w:val="00D70839"/>
    <w:rsid w:val="00D70983"/>
    <w:rsid w:val="00D70CCD"/>
    <w:rsid w:val="00D70D36"/>
    <w:rsid w:val="00D71C9F"/>
    <w:rsid w:val="00D71DA9"/>
    <w:rsid w:val="00D72307"/>
    <w:rsid w:val="00D7275B"/>
    <w:rsid w:val="00D72B7B"/>
    <w:rsid w:val="00D73BAA"/>
    <w:rsid w:val="00D7437C"/>
    <w:rsid w:val="00D74A26"/>
    <w:rsid w:val="00D74A57"/>
    <w:rsid w:val="00D751FF"/>
    <w:rsid w:val="00D76473"/>
    <w:rsid w:val="00D76D1C"/>
    <w:rsid w:val="00D76F17"/>
    <w:rsid w:val="00D77316"/>
    <w:rsid w:val="00D779ED"/>
    <w:rsid w:val="00D77B3D"/>
    <w:rsid w:val="00D80261"/>
    <w:rsid w:val="00D802CD"/>
    <w:rsid w:val="00D80588"/>
    <w:rsid w:val="00D80E37"/>
    <w:rsid w:val="00D812C9"/>
    <w:rsid w:val="00D81414"/>
    <w:rsid w:val="00D81453"/>
    <w:rsid w:val="00D81B08"/>
    <w:rsid w:val="00D82167"/>
    <w:rsid w:val="00D82250"/>
    <w:rsid w:val="00D82B11"/>
    <w:rsid w:val="00D82BEB"/>
    <w:rsid w:val="00D83157"/>
    <w:rsid w:val="00D83683"/>
    <w:rsid w:val="00D83922"/>
    <w:rsid w:val="00D83B5D"/>
    <w:rsid w:val="00D84A65"/>
    <w:rsid w:val="00D84E34"/>
    <w:rsid w:val="00D852D0"/>
    <w:rsid w:val="00D86114"/>
    <w:rsid w:val="00D8638E"/>
    <w:rsid w:val="00D86774"/>
    <w:rsid w:val="00D86BF5"/>
    <w:rsid w:val="00D86C3C"/>
    <w:rsid w:val="00D87209"/>
    <w:rsid w:val="00D87C68"/>
    <w:rsid w:val="00D87D58"/>
    <w:rsid w:val="00D9043B"/>
    <w:rsid w:val="00D905B5"/>
    <w:rsid w:val="00D90624"/>
    <w:rsid w:val="00D90BCF"/>
    <w:rsid w:val="00D90C42"/>
    <w:rsid w:val="00D91076"/>
    <w:rsid w:val="00D915B2"/>
    <w:rsid w:val="00D91D2B"/>
    <w:rsid w:val="00D91EC7"/>
    <w:rsid w:val="00D92227"/>
    <w:rsid w:val="00D922DA"/>
    <w:rsid w:val="00D932AA"/>
    <w:rsid w:val="00D93421"/>
    <w:rsid w:val="00D9354C"/>
    <w:rsid w:val="00D938C9"/>
    <w:rsid w:val="00D94866"/>
    <w:rsid w:val="00D94AFB"/>
    <w:rsid w:val="00D94B33"/>
    <w:rsid w:val="00D94B58"/>
    <w:rsid w:val="00D94BAE"/>
    <w:rsid w:val="00D9534E"/>
    <w:rsid w:val="00D965E2"/>
    <w:rsid w:val="00D96CD3"/>
    <w:rsid w:val="00D96D90"/>
    <w:rsid w:val="00D96F34"/>
    <w:rsid w:val="00D97673"/>
    <w:rsid w:val="00D9779D"/>
    <w:rsid w:val="00D97D20"/>
    <w:rsid w:val="00D97FDF"/>
    <w:rsid w:val="00DA00B5"/>
    <w:rsid w:val="00DA03C1"/>
    <w:rsid w:val="00DA055C"/>
    <w:rsid w:val="00DA13C2"/>
    <w:rsid w:val="00DA15A5"/>
    <w:rsid w:val="00DA16DD"/>
    <w:rsid w:val="00DA18B9"/>
    <w:rsid w:val="00DA18C3"/>
    <w:rsid w:val="00DA190D"/>
    <w:rsid w:val="00DA1A2F"/>
    <w:rsid w:val="00DA1B85"/>
    <w:rsid w:val="00DA1C4D"/>
    <w:rsid w:val="00DA29BD"/>
    <w:rsid w:val="00DA2C46"/>
    <w:rsid w:val="00DA2CCA"/>
    <w:rsid w:val="00DA2E81"/>
    <w:rsid w:val="00DA2E89"/>
    <w:rsid w:val="00DA2F3E"/>
    <w:rsid w:val="00DA3833"/>
    <w:rsid w:val="00DA43AA"/>
    <w:rsid w:val="00DA46DF"/>
    <w:rsid w:val="00DA4B58"/>
    <w:rsid w:val="00DA4F23"/>
    <w:rsid w:val="00DA5314"/>
    <w:rsid w:val="00DA57B2"/>
    <w:rsid w:val="00DA5D4E"/>
    <w:rsid w:val="00DA5FA3"/>
    <w:rsid w:val="00DA5FF1"/>
    <w:rsid w:val="00DA60DE"/>
    <w:rsid w:val="00DA62B8"/>
    <w:rsid w:val="00DA6732"/>
    <w:rsid w:val="00DA6A2A"/>
    <w:rsid w:val="00DA6B01"/>
    <w:rsid w:val="00DA7742"/>
    <w:rsid w:val="00DA7747"/>
    <w:rsid w:val="00DA7B16"/>
    <w:rsid w:val="00DA7C53"/>
    <w:rsid w:val="00DB0995"/>
    <w:rsid w:val="00DB18FA"/>
    <w:rsid w:val="00DB1EC9"/>
    <w:rsid w:val="00DB21B3"/>
    <w:rsid w:val="00DB249B"/>
    <w:rsid w:val="00DB29F7"/>
    <w:rsid w:val="00DB29F9"/>
    <w:rsid w:val="00DB2CD1"/>
    <w:rsid w:val="00DB2E99"/>
    <w:rsid w:val="00DB38FA"/>
    <w:rsid w:val="00DB3A3E"/>
    <w:rsid w:val="00DB3D61"/>
    <w:rsid w:val="00DB4A97"/>
    <w:rsid w:val="00DB4EB3"/>
    <w:rsid w:val="00DB520F"/>
    <w:rsid w:val="00DB53E9"/>
    <w:rsid w:val="00DB5660"/>
    <w:rsid w:val="00DB5ABB"/>
    <w:rsid w:val="00DB5D51"/>
    <w:rsid w:val="00DB5DF4"/>
    <w:rsid w:val="00DB604A"/>
    <w:rsid w:val="00DB6114"/>
    <w:rsid w:val="00DB6469"/>
    <w:rsid w:val="00DB739C"/>
    <w:rsid w:val="00DB752E"/>
    <w:rsid w:val="00DB7749"/>
    <w:rsid w:val="00DB7D22"/>
    <w:rsid w:val="00DB7F61"/>
    <w:rsid w:val="00DC023A"/>
    <w:rsid w:val="00DC02F7"/>
    <w:rsid w:val="00DC05C1"/>
    <w:rsid w:val="00DC098D"/>
    <w:rsid w:val="00DC0AF7"/>
    <w:rsid w:val="00DC0C85"/>
    <w:rsid w:val="00DC1280"/>
    <w:rsid w:val="00DC12EC"/>
    <w:rsid w:val="00DC1622"/>
    <w:rsid w:val="00DC16A3"/>
    <w:rsid w:val="00DC16A7"/>
    <w:rsid w:val="00DC1807"/>
    <w:rsid w:val="00DC1852"/>
    <w:rsid w:val="00DC1BE4"/>
    <w:rsid w:val="00DC2173"/>
    <w:rsid w:val="00DC2D8F"/>
    <w:rsid w:val="00DC2E46"/>
    <w:rsid w:val="00DC2E6C"/>
    <w:rsid w:val="00DC2FC9"/>
    <w:rsid w:val="00DC3A48"/>
    <w:rsid w:val="00DC3BA0"/>
    <w:rsid w:val="00DC473A"/>
    <w:rsid w:val="00DC487D"/>
    <w:rsid w:val="00DC543B"/>
    <w:rsid w:val="00DC6170"/>
    <w:rsid w:val="00DC65FA"/>
    <w:rsid w:val="00DC6A43"/>
    <w:rsid w:val="00DC6A96"/>
    <w:rsid w:val="00DC6E35"/>
    <w:rsid w:val="00DC73D0"/>
    <w:rsid w:val="00DC772A"/>
    <w:rsid w:val="00DC7D9D"/>
    <w:rsid w:val="00DC7EE1"/>
    <w:rsid w:val="00DD06EA"/>
    <w:rsid w:val="00DD08E5"/>
    <w:rsid w:val="00DD0FB2"/>
    <w:rsid w:val="00DD1C24"/>
    <w:rsid w:val="00DD1DDE"/>
    <w:rsid w:val="00DD2826"/>
    <w:rsid w:val="00DD358F"/>
    <w:rsid w:val="00DD3648"/>
    <w:rsid w:val="00DD472A"/>
    <w:rsid w:val="00DD4831"/>
    <w:rsid w:val="00DD4942"/>
    <w:rsid w:val="00DD4959"/>
    <w:rsid w:val="00DD4DDE"/>
    <w:rsid w:val="00DD4F2F"/>
    <w:rsid w:val="00DD5425"/>
    <w:rsid w:val="00DD5C93"/>
    <w:rsid w:val="00DD5F60"/>
    <w:rsid w:val="00DD6068"/>
    <w:rsid w:val="00DD606D"/>
    <w:rsid w:val="00DD664C"/>
    <w:rsid w:val="00DD6917"/>
    <w:rsid w:val="00DD6A07"/>
    <w:rsid w:val="00DD6DF6"/>
    <w:rsid w:val="00DD71F7"/>
    <w:rsid w:val="00DD7219"/>
    <w:rsid w:val="00DD7BBC"/>
    <w:rsid w:val="00DD7C45"/>
    <w:rsid w:val="00DD7F4F"/>
    <w:rsid w:val="00DE026A"/>
    <w:rsid w:val="00DE04C6"/>
    <w:rsid w:val="00DE08BC"/>
    <w:rsid w:val="00DE0C76"/>
    <w:rsid w:val="00DE0D93"/>
    <w:rsid w:val="00DE1239"/>
    <w:rsid w:val="00DE1C81"/>
    <w:rsid w:val="00DE1D45"/>
    <w:rsid w:val="00DE2332"/>
    <w:rsid w:val="00DE2C94"/>
    <w:rsid w:val="00DE3308"/>
    <w:rsid w:val="00DE355F"/>
    <w:rsid w:val="00DE35B9"/>
    <w:rsid w:val="00DE368A"/>
    <w:rsid w:val="00DE378F"/>
    <w:rsid w:val="00DE399D"/>
    <w:rsid w:val="00DE3A5F"/>
    <w:rsid w:val="00DE3AC1"/>
    <w:rsid w:val="00DE41FF"/>
    <w:rsid w:val="00DE49A4"/>
    <w:rsid w:val="00DE4C50"/>
    <w:rsid w:val="00DE503F"/>
    <w:rsid w:val="00DE5466"/>
    <w:rsid w:val="00DE5525"/>
    <w:rsid w:val="00DE5A11"/>
    <w:rsid w:val="00DE5DDD"/>
    <w:rsid w:val="00DE66BE"/>
    <w:rsid w:val="00DE7029"/>
    <w:rsid w:val="00DE761A"/>
    <w:rsid w:val="00DE77A3"/>
    <w:rsid w:val="00DE7948"/>
    <w:rsid w:val="00DE7FD0"/>
    <w:rsid w:val="00DF029E"/>
    <w:rsid w:val="00DF0DED"/>
    <w:rsid w:val="00DF11B5"/>
    <w:rsid w:val="00DF1BCC"/>
    <w:rsid w:val="00DF1C8A"/>
    <w:rsid w:val="00DF2D3A"/>
    <w:rsid w:val="00DF3132"/>
    <w:rsid w:val="00DF31A3"/>
    <w:rsid w:val="00DF3965"/>
    <w:rsid w:val="00DF4B29"/>
    <w:rsid w:val="00DF5972"/>
    <w:rsid w:val="00DF65E2"/>
    <w:rsid w:val="00DF6CA2"/>
    <w:rsid w:val="00DF6D54"/>
    <w:rsid w:val="00DF70D5"/>
    <w:rsid w:val="00DF7AB2"/>
    <w:rsid w:val="00DF7D45"/>
    <w:rsid w:val="00E007E5"/>
    <w:rsid w:val="00E00CD0"/>
    <w:rsid w:val="00E01538"/>
    <w:rsid w:val="00E01585"/>
    <w:rsid w:val="00E026D3"/>
    <w:rsid w:val="00E02896"/>
    <w:rsid w:val="00E029BA"/>
    <w:rsid w:val="00E02B05"/>
    <w:rsid w:val="00E032EE"/>
    <w:rsid w:val="00E03AC5"/>
    <w:rsid w:val="00E03B83"/>
    <w:rsid w:val="00E03FC0"/>
    <w:rsid w:val="00E046D3"/>
    <w:rsid w:val="00E052EA"/>
    <w:rsid w:val="00E052FD"/>
    <w:rsid w:val="00E05600"/>
    <w:rsid w:val="00E05714"/>
    <w:rsid w:val="00E058CD"/>
    <w:rsid w:val="00E0596F"/>
    <w:rsid w:val="00E05BFA"/>
    <w:rsid w:val="00E062CD"/>
    <w:rsid w:val="00E0643C"/>
    <w:rsid w:val="00E06A7B"/>
    <w:rsid w:val="00E06B49"/>
    <w:rsid w:val="00E076A5"/>
    <w:rsid w:val="00E078E8"/>
    <w:rsid w:val="00E100CA"/>
    <w:rsid w:val="00E102E8"/>
    <w:rsid w:val="00E105CA"/>
    <w:rsid w:val="00E10CAB"/>
    <w:rsid w:val="00E114E5"/>
    <w:rsid w:val="00E11EE3"/>
    <w:rsid w:val="00E13996"/>
    <w:rsid w:val="00E13D21"/>
    <w:rsid w:val="00E13D75"/>
    <w:rsid w:val="00E13E5A"/>
    <w:rsid w:val="00E140FF"/>
    <w:rsid w:val="00E1433A"/>
    <w:rsid w:val="00E144AA"/>
    <w:rsid w:val="00E14DD5"/>
    <w:rsid w:val="00E15371"/>
    <w:rsid w:val="00E15424"/>
    <w:rsid w:val="00E158FE"/>
    <w:rsid w:val="00E161E9"/>
    <w:rsid w:val="00E16B35"/>
    <w:rsid w:val="00E17661"/>
    <w:rsid w:val="00E17698"/>
    <w:rsid w:val="00E17902"/>
    <w:rsid w:val="00E17CC4"/>
    <w:rsid w:val="00E201F6"/>
    <w:rsid w:val="00E204F7"/>
    <w:rsid w:val="00E207E3"/>
    <w:rsid w:val="00E21250"/>
    <w:rsid w:val="00E219E7"/>
    <w:rsid w:val="00E21DF2"/>
    <w:rsid w:val="00E21FDB"/>
    <w:rsid w:val="00E22341"/>
    <w:rsid w:val="00E223D9"/>
    <w:rsid w:val="00E228D9"/>
    <w:rsid w:val="00E2294B"/>
    <w:rsid w:val="00E23395"/>
    <w:rsid w:val="00E239A6"/>
    <w:rsid w:val="00E23B51"/>
    <w:rsid w:val="00E24112"/>
    <w:rsid w:val="00E24702"/>
    <w:rsid w:val="00E24802"/>
    <w:rsid w:val="00E24C3C"/>
    <w:rsid w:val="00E25202"/>
    <w:rsid w:val="00E25BFE"/>
    <w:rsid w:val="00E2660F"/>
    <w:rsid w:val="00E266C1"/>
    <w:rsid w:val="00E268B8"/>
    <w:rsid w:val="00E2721B"/>
    <w:rsid w:val="00E2728A"/>
    <w:rsid w:val="00E2737D"/>
    <w:rsid w:val="00E273CA"/>
    <w:rsid w:val="00E274AD"/>
    <w:rsid w:val="00E27DDA"/>
    <w:rsid w:val="00E3086E"/>
    <w:rsid w:val="00E30BF7"/>
    <w:rsid w:val="00E30C04"/>
    <w:rsid w:val="00E31932"/>
    <w:rsid w:val="00E31EF1"/>
    <w:rsid w:val="00E33011"/>
    <w:rsid w:val="00E33133"/>
    <w:rsid w:val="00E334FF"/>
    <w:rsid w:val="00E336E5"/>
    <w:rsid w:val="00E3375A"/>
    <w:rsid w:val="00E33DCE"/>
    <w:rsid w:val="00E3403A"/>
    <w:rsid w:val="00E3422C"/>
    <w:rsid w:val="00E349BA"/>
    <w:rsid w:val="00E3519C"/>
    <w:rsid w:val="00E3519D"/>
    <w:rsid w:val="00E35858"/>
    <w:rsid w:val="00E35BF2"/>
    <w:rsid w:val="00E35C01"/>
    <w:rsid w:val="00E35EE1"/>
    <w:rsid w:val="00E361CE"/>
    <w:rsid w:val="00E362F0"/>
    <w:rsid w:val="00E36405"/>
    <w:rsid w:val="00E374D5"/>
    <w:rsid w:val="00E37564"/>
    <w:rsid w:val="00E40105"/>
    <w:rsid w:val="00E4066A"/>
    <w:rsid w:val="00E40683"/>
    <w:rsid w:val="00E409E6"/>
    <w:rsid w:val="00E41282"/>
    <w:rsid w:val="00E4248A"/>
    <w:rsid w:val="00E424A0"/>
    <w:rsid w:val="00E4283E"/>
    <w:rsid w:val="00E4316D"/>
    <w:rsid w:val="00E4354E"/>
    <w:rsid w:val="00E43E88"/>
    <w:rsid w:val="00E446E5"/>
    <w:rsid w:val="00E44ABF"/>
    <w:rsid w:val="00E44C34"/>
    <w:rsid w:val="00E454AD"/>
    <w:rsid w:val="00E459A4"/>
    <w:rsid w:val="00E459E9"/>
    <w:rsid w:val="00E45EC4"/>
    <w:rsid w:val="00E45FB8"/>
    <w:rsid w:val="00E47226"/>
    <w:rsid w:val="00E474E8"/>
    <w:rsid w:val="00E47C5F"/>
    <w:rsid w:val="00E50516"/>
    <w:rsid w:val="00E507CB"/>
    <w:rsid w:val="00E5081C"/>
    <w:rsid w:val="00E508BF"/>
    <w:rsid w:val="00E5091B"/>
    <w:rsid w:val="00E50A63"/>
    <w:rsid w:val="00E50E59"/>
    <w:rsid w:val="00E520BA"/>
    <w:rsid w:val="00E522E6"/>
    <w:rsid w:val="00E52484"/>
    <w:rsid w:val="00E52814"/>
    <w:rsid w:val="00E528EA"/>
    <w:rsid w:val="00E529B1"/>
    <w:rsid w:val="00E52CC5"/>
    <w:rsid w:val="00E535A8"/>
    <w:rsid w:val="00E53671"/>
    <w:rsid w:val="00E53C09"/>
    <w:rsid w:val="00E54168"/>
    <w:rsid w:val="00E55298"/>
    <w:rsid w:val="00E55601"/>
    <w:rsid w:val="00E5582C"/>
    <w:rsid w:val="00E5620C"/>
    <w:rsid w:val="00E56319"/>
    <w:rsid w:val="00E565C3"/>
    <w:rsid w:val="00E57859"/>
    <w:rsid w:val="00E578B9"/>
    <w:rsid w:val="00E57905"/>
    <w:rsid w:val="00E57E1A"/>
    <w:rsid w:val="00E57F98"/>
    <w:rsid w:val="00E6060B"/>
    <w:rsid w:val="00E61142"/>
    <w:rsid w:val="00E61587"/>
    <w:rsid w:val="00E61BB0"/>
    <w:rsid w:val="00E61EC8"/>
    <w:rsid w:val="00E624A0"/>
    <w:rsid w:val="00E627EC"/>
    <w:rsid w:val="00E62A56"/>
    <w:rsid w:val="00E63041"/>
    <w:rsid w:val="00E633F1"/>
    <w:rsid w:val="00E636F5"/>
    <w:rsid w:val="00E636FD"/>
    <w:rsid w:val="00E6378B"/>
    <w:rsid w:val="00E6458F"/>
    <w:rsid w:val="00E64617"/>
    <w:rsid w:val="00E647F9"/>
    <w:rsid w:val="00E6542B"/>
    <w:rsid w:val="00E6548E"/>
    <w:rsid w:val="00E65D92"/>
    <w:rsid w:val="00E660D9"/>
    <w:rsid w:val="00E663CF"/>
    <w:rsid w:val="00E66418"/>
    <w:rsid w:val="00E66765"/>
    <w:rsid w:val="00E66842"/>
    <w:rsid w:val="00E668DB"/>
    <w:rsid w:val="00E669D9"/>
    <w:rsid w:val="00E66D16"/>
    <w:rsid w:val="00E674F1"/>
    <w:rsid w:val="00E6763F"/>
    <w:rsid w:val="00E70037"/>
    <w:rsid w:val="00E70976"/>
    <w:rsid w:val="00E70A84"/>
    <w:rsid w:val="00E71356"/>
    <w:rsid w:val="00E7161D"/>
    <w:rsid w:val="00E71A88"/>
    <w:rsid w:val="00E71DBA"/>
    <w:rsid w:val="00E72897"/>
    <w:rsid w:val="00E72BEB"/>
    <w:rsid w:val="00E72E41"/>
    <w:rsid w:val="00E73712"/>
    <w:rsid w:val="00E73AA5"/>
    <w:rsid w:val="00E73EAE"/>
    <w:rsid w:val="00E74254"/>
    <w:rsid w:val="00E7428F"/>
    <w:rsid w:val="00E748C5"/>
    <w:rsid w:val="00E7562E"/>
    <w:rsid w:val="00E75926"/>
    <w:rsid w:val="00E7629E"/>
    <w:rsid w:val="00E7638C"/>
    <w:rsid w:val="00E763A2"/>
    <w:rsid w:val="00E768D4"/>
    <w:rsid w:val="00E7696C"/>
    <w:rsid w:val="00E76DD1"/>
    <w:rsid w:val="00E7708D"/>
    <w:rsid w:val="00E771B7"/>
    <w:rsid w:val="00E772E6"/>
    <w:rsid w:val="00E778E9"/>
    <w:rsid w:val="00E77E05"/>
    <w:rsid w:val="00E80450"/>
    <w:rsid w:val="00E804FD"/>
    <w:rsid w:val="00E80540"/>
    <w:rsid w:val="00E805B8"/>
    <w:rsid w:val="00E80793"/>
    <w:rsid w:val="00E80AE7"/>
    <w:rsid w:val="00E80B36"/>
    <w:rsid w:val="00E81025"/>
    <w:rsid w:val="00E8108A"/>
    <w:rsid w:val="00E810C1"/>
    <w:rsid w:val="00E81283"/>
    <w:rsid w:val="00E8130A"/>
    <w:rsid w:val="00E8149A"/>
    <w:rsid w:val="00E81915"/>
    <w:rsid w:val="00E81966"/>
    <w:rsid w:val="00E81A0C"/>
    <w:rsid w:val="00E81B3F"/>
    <w:rsid w:val="00E8265E"/>
    <w:rsid w:val="00E82D42"/>
    <w:rsid w:val="00E82E8A"/>
    <w:rsid w:val="00E83357"/>
    <w:rsid w:val="00E83405"/>
    <w:rsid w:val="00E83474"/>
    <w:rsid w:val="00E838D1"/>
    <w:rsid w:val="00E84425"/>
    <w:rsid w:val="00E847EA"/>
    <w:rsid w:val="00E84D86"/>
    <w:rsid w:val="00E851A8"/>
    <w:rsid w:val="00E85646"/>
    <w:rsid w:val="00E8576F"/>
    <w:rsid w:val="00E85DC1"/>
    <w:rsid w:val="00E8685A"/>
    <w:rsid w:val="00E86AC3"/>
    <w:rsid w:val="00E87076"/>
    <w:rsid w:val="00E87129"/>
    <w:rsid w:val="00E873AC"/>
    <w:rsid w:val="00E874A6"/>
    <w:rsid w:val="00E87625"/>
    <w:rsid w:val="00E901B8"/>
    <w:rsid w:val="00E9026D"/>
    <w:rsid w:val="00E90644"/>
    <w:rsid w:val="00E906D0"/>
    <w:rsid w:val="00E907E7"/>
    <w:rsid w:val="00E910D5"/>
    <w:rsid w:val="00E916FE"/>
    <w:rsid w:val="00E91EF9"/>
    <w:rsid w:val="00E921BF"/>
    <w:rsid w:val="00E92996"/>
    <w:rsid w:val="00E929F5"/>
    <w:rsid w:val="00E92C50"/>
    <w:rsid w:val="00E932E9"/>
    <w:rsid w:val="00E93529"/>
    <w:rsid w:val="00E938D5"/>
    <w:rsid w:val="00E93DC1"/>
    <w:rsid w:val="00E9424F"/>
    <w:rsid w:val="00E947C4"/>
    <w:rsid w:val="00E948E7"/>
    <w:rsid w:val="00E950A9"/>
    <w:rsid w:val="00E954D3"/>
    <w:rsid w:val="00E96458"/>
    <w:rsid w:val="00E964E6"/>
    <w:rsid w:val="00E96B61"/>
    <w:rsid w:val="00E96E7B"/>
    <w:rsid w:val="00E96F6A"/>
    <w:rsid w:val="00E97389"/>
    <w:rsid w:val="00E973C1"/>
    <w:rsid w:val="00E97CD2"/>
    <w:rsid w:val="00E97D88"/>
    <w:rsid w:val="00E97E3B"/>
    <w:rsid w:val="00E97F71"/>
    <w:rsid w:val="00EA02AB"/>
    <w:rsid w:val="00EA0E5D"/>
    <w:rsid w:val="00EA1C73"/>
    <w:rsid w:val="00EA24A7"/>
    <w:rsid w:val="00EA2794"/>
    <w:rsid w:val="00EA2E48"/>
    <w:rsid w:val="00EA2EAA"/>
    <w:rsid w:val="00EA2FE8"/>
    <w:rsid w:val="00EA3D57"/>
    <w:rsid w:val="00EA412C"/>
    <w:rsid w:val="00EA4281"/>
    <w:rsid w:val="00EA451B"/>
    <w:rsid w:val="00EA46E3"/>
    <w:rsid w:val="00EA4C0A"/>
    <w:rsid w:val="00EA4D2E"/>
    <w:rsid w:val="00EA4E95"/>
    <w:rsid w:val="00EA5469"/>
    <w:rsid w:val="00EA6198"/>
    <w:rsid w:val="00EA6699"/>
    <w:rsid w:val="00EA709E"/>
    <w:rsid w:val="00EA70C5"/>
    <w:rsid w:val="00EA71EE"/>
    <w:rsid w:val="00EB03A7"/>
    <w:rsid w:val="00EB064F"/>
    <w:rsid w:val="00EB06A7"/>
    <w:rsid w:val="00EB089A"/>
    <w:rsid w:val="00EB1DEF"/>
    <w:rsid w:val="00EB286F"/>
    <w:rsid w:val="00EB37A2"/>
    <w:rsid w:val="00EB3A0A"/>
    <w:rsid w:val="00EB3B68"/>
    <w:rsid w:val="00EB453D"/>
    <w:rsid w:val="00EB52D0"/>
    <w:rsid w:val="00EB55B9"/>
    <w:rsid w:val="00EB55BF"/>
    <w:rsid w:val="00EB59B9"/>
    <w:rsid w:val="00EB5C9E"/>
    <w:rsid w:val="00EB69AE"/>
    <w:rsid w:val="00EB6DF5"/>
    <w:rsid w:val="00EB6EAA"/>
    <w:rsid w:val="00EB6F21"/>
    <w:rsid w:val="00EB748E"/>
    <w:rsid w:val="00EB7827"/>
    <w:rsid w:val="00EC0117"/>
    <w:rsid w:val="00EC012C"/>
    <w:rsid w:val="00EC097A"/>
    <w:rsid w:val="00EC0A30"/>
    <w:rsid w:val="00EC191D"/>
    <w:rsid w:val="00EC245B"/>
    <w:rsid w:val="00EC2A37"/>
    <w:rsid w:val="00EC3410"/>
    <w:rsid w:val="00EC39DA"/>
    <w:rsid w:val="00EC3BCE"/>
    <w:rsid w:val="00EC3E02"/>
    <w:rsid w:val="00EC3E9C"/>
    <w:rsid w:val="00EC3FD3"/>
    <w:rsid w:val="00EC4263"/>
    <w:rsid w:val="00EC489D"/>
    <w:rsid w:val="00EC5485"/>
    <w:rsid w:val="00EC5AF4"/>
    <w:rsid w:val="00EC5B04"/>
    <w:rsid w:val="00EC700D"/>
    <w:rsid w:val="00EC7030"/>
    <w:rsid w:val="00EC7207"/>
    <w:rsid w:val="00EC73FF"/>
    <w:rsid w:val="00EC7C35"/>
    <w:rsid w:val="00ED0560"/>
    <w:rsid w:val="00ED0AE2"/>
    <w:rsid w:val="00ED0C5F"/>
    <w:rsid w:val="00ED0F9A"/>
    <w:rsid w:val="00ED1108"/>
    <w:rsid w:val="00ED122C"/>
    <w:rsid w:val="00ED1526"/>
    <w:rsid w:val="00ED1BF4"/>
    <w:rsid w:val="00ED1C29"/>
    <w:rsid w:val="00ED1F7B"/>
    <w:rsid w:val="00ED20F3"/>
    <w:rsid w:val="00ED2C72"/>
    <w:rsid w:val="00ED2D1A"/>
    <w:rsid w:val="00ED306B"/>
    <w:rsid w:val="00ED3681"/>
    <w:rsid w:val="00ED3719"/>
    <w:rsid w:val="00ED3A0A"/>
    <w:rsid w:val="00ED3D65"/>
    <w:rsid w:val="00ED3EE1"/>
    <w:rsid w:val="00ED3F20"/>
    <w:rsid w:val="00ED42ED"/>
    <w:rsid w:val="00ED48B1"/>
    <w:rsid w:val="00ED4D52"/>
    <w:rsid w:val="00ED501C"/>
    <w:rsid w:val="00ED5756"/>
    <w:rsid w:val="00ED592C"/>
    <w:rsid w:val="00ED5DF5"/>
    <w:rsid w:val="00ED5F9B"/>
    <w:rsid w:val="00ED606E"/>
    <w:rsid w:val="00ED625F"/>
    <w:rsid w:val="00ED628E"/>
    <w:rsid w:val="00ED65AF"/>
    <w:rsid w:val="00ED6723"/>
    <w:rsid w:val="00ED6F38"/>
    <w:rsid w:val="00ED7235"/>
    <w:rsid w:val="00ED72E0"/>
    <w:rsid w:val="00ED7570"/>
    <w:rsid w:val="00ED7742"/>
    <w:rsid w:val="00ED7CA0"/>
    <w:rsid w:val="00EE0CC9"/>
    <w:rsid w:val="00EE1A64"/>
    <w:rsid w:val="00EE1D4B"/>
    <w:rsid w:val="00EE292D"/>
    <w:rsid w:val="00EE2FAA"/>
    <w:rsid w:val="00EE3137"/>
    <w:rsid w:val="00EE3170"/>
    <w:rsid w:val="00EE34C5"/>
    <w:rsid w:val="00EE3C60"/>
    <w:rsid w:val="00EE3FDC"/>
    <w:rsid w:val="00EE4651"/>
    <w:rsid w:val="00EE4807"/>
    <w:rsid w:val="00EE48EB"/>
    <w:rsid w:val="00EE498F"/>
    <w:rsid w:val="00EE4AD3"/>
    <w:rsid w:val="00EE4D77"/>
    <w:rsid w:val="00EE4FBD"/>
    <w:rsid w:val="00EE50D5"/>
    <w:rsid w:val="00EE581B"/>
    <w:rsid w:val="00EE58B3"/>
    <w:rsid w:val="00EE5B50"/>
    <w:rsid w:val="00EE5D4D"/>
    <w:rsid w:val="00EE6586"/>
    <w:rsid w:val="00EE6834"/>
    <w:rsid w:val="00EE69CB"/>
    <w:rsid w:val="00EE6F28"/>
    <w:rsid w:val="00EE72A7"/>
    <w:rsid w:val="00EE7503"/>
    <w:rsid w:val="00EE77A8"/>
    <w:rsid w:val="00EE77F5"/>
    <w:rsid w:val="00EE7871"/>
    <w:rsid w:val="00EE793E"/>
    <w:rsid w:val="00EE7B7B"/>
    <w:rsid w:val="00EF006A"/>
    <w:rsid w:val="00EF057B"/>
    <w:rsid w:val="00EF0ECA"/>
    <w:rsid w:val="00EF127A"/>
    <w:rsid w:val="00EF134C"/>
    <w:rsid w:val="00EF1D41"/>
    <w:rsid w:val="00EF21D9"/>
    <w:rsid w:val="00EF2ABF"/>
    <w:rsid w:val="00EF2F51"/>
    <w:rsid w:val="00EF31A0"/>
    <w:rsid w:val="00EF347E"/>
    <w:rsid w:val="00EF372A"/>
    <w:rsid w:val="00EF3F8F"/>
    <w:rsid w:val="00EF4134"/>
    <w:rsid w:val="00EF4296"/>
    <w:rsid w:val="00EF485B"/>
    <w:rsid w:val="00EF489B"/>
    <w:rsid w:val="00EF553F"/>
    <w:rsid w:val="00EF55D0"/>
    <w:rsid w:val="00EF576B"/>
    <w:rsid w:val="00EF581D"/>
    <w:rsid w:val="00EF59F1"/>
    <w:rsid w:val="00EF5BAA"/>
    <w:rsid w:val="00EF6275"/>
    <w:rsid w:val="00EF630B"/>
    <w:rsid w:val="00EF6525"/>
    <w:rsid w:val="00EF65F4"/>
    <w:rsid w:val="00EF6C84"/>
    <w:rsid w:val="00EF6E9C"/>
    <w:rsid w:val="00EF73C5"/>
    <w:rsid w:val="00EF7FD6"/>
    <w:rsid w:val="00F005A3"/>
    <w:rsid w:val="00F00E11"/>
    <w:rsid w:val="00F01094"/>
    <w:rsid w:val="00F010FA"/>
    <w:rsid w:val="00F01114"/>
    <w:rsid w:val="00F01385"/>
    <w:rsid w:val="00F018D7"/>
    <w:rsid w:val="00F01D04"/>
    <w:rsid w:val="00F0218B"/>
    <w:rsid w:val="00F02921"/>
    <w:rsid w:val="00F03202"/>
    <w:rsid w:val="00F036EC"/>
    <w:rsid w:val="00F0461C"/>
    <w:rsid w:val="00F0482E"/>
    <w:rsid w:val="00F05C9C"/>
    <w:rsid w:val="00F063FA"/>
    <w:rsid w:val="00F06414"/>
    <w:rsid w:val="00F06823"/>
    <w:rsid w:val="00F06F0F"/>
    <w:rsid w:val="00F1048A"/>
    <w:rsid w:val="00F1055C"/>
    <w:rsid w:val="00F10ED4"/>
    <w:rsid w:val="00F10F99"/>
    <w:rsid w:val="00F10FF0"/>
    <w:rsid w:val="00F1170E"/>
    <w:rsid w:val="00F119EB"/>
    <w:rsid w:val="00F12634"/>
    <w:rsid w:val="00F12A0D"/>
    <w:rsid w:val="00F12CA2"/>
    <w:rsid w:val="00F13834"/>
    <w:rsid w:val="00F1395B"/>
    <w:rsid w:val="00F13F7C"/>
    <w:rsid w:val="00F142A3"/>
    <w:rsid w:val="00F142C6"/>
    <w:rsid w:val="00F14431"/>
    <w:rsid w:val="00F147B8"/>
    <w:rsid w:val="00F14D21"/>
    <w:rsid w:val="00F14E44"/>
    <w:rsid w:val="00F1544F"/>
    <w:rsid w:val="00F158A9"/>
    <w:rsid w:val="00F159ED"/>
    <w:rsid w:val="00F15CCC"/>
    <w:rsid w:val="00F15CE5"/>
    <w:rsid w:val="00F15F93"/>
    <w:rsid w:val="00F1693B"/>
    <w:rsid w:val="00F1726D"/>
    <w:rsid w:val="00F17B51"/>
    <w:rsid w:val="00F17F04"/>
    <w:rsid w:val="00F200D4"/>
    <w:rsid w:val="00F20606"/>
    <w:rsid w:val="00F20987"/>
    <w:rsid w:val="00F20A6C"/>
    <w:rsid w:val="00F20B44"/>
    <w:rsid w:val="00F21008"/>
    <w:rsid w:val="00F214E2"/>
    <w:rsid w:val="00F21533"/>
    <w:rsid w:val="00F21D68"/>
    <w:rsid w:val="00F21E1A"/>
    <w:rsid w:val="00F220D8"/>
    <w:rsid w:val="00F2212C"/>
    <w:rsid w:val="00F226DE"/>
    <w:rsid w:val="00F2289E"/>
    <w:rsid w:val="00F22E61"/>
    <w:rsid w:val="00F232F8"/>
    <w:rsid w:val="00F236BB"/>
    <w:rsid w:val="00F23D49"/>
    <w:rsid w:val="00F2431B"/>
    <w:rsid w:val="00F245A3"/>
    <w:rsid w:val="00F2546D"/>
    <w:rsid w:val="00F25553"/>
    <w:rsid w:val="00F258E9"/>
    <w:rsid w:val="00F25AEC"/>
    <w:rsid w:val="00F25E01"/>
    <w:rsid w:val="00F26139"/>
    <w:rsid w:val="00F26E4E"/>
    <w:rsid w:val="00F26F3A"/>
    <w:rsid w:val="00F2733F"/>
    <w:rsid w:val="00F27371"/>
    <w:rsid w:val="00F27C94"/>
    <w:rsid w:val="00F27DAE"/>
    <w:rsid w:val="00F30150"/>
    <w:rsid w:val="00F30338"/>
    <w:rsid w:val="00F306B5"/>
    <w:rsid w:val="00F307CA"/>
    <w:rsid w:val="00F31A10"/>
    <w:rsid w:val="00F321BE"/>
    <w:rsid w:val="00F3239C"/>
    <w:rsid w:val="00F32B0F"/>
    <w:rsid w:val="00F32D2C"/>
    <w:rsid w:val="00F32F78"/>
    <w:rsid w:val="00F33239"/>
    <w:rsid w:val="00F3335A"/>
    <w:rsid w:val="00F344FE"/>
    <w:rsid w:val="00F3465B"/>
    <w:rsid w:val="00F358EA"/>
    <w:rsid w:val="00F3650D"/>
    <w:rsid w:val="00F36DC7"/>
    <w:rsid w:val="00F36F3A"/>
    <w:rsid w:val="00F3701B"/>
    <w:rsid w:val="00F37ADB"/>
    <w:rsid w:val="00F4004A"/>
    <w:rsid w:val="00F400D2"/>
    <w:rsid w:val="00F4034F"/>
    <w:rsid w:val="00F40803"/>
    <w:rsid w:val="00F40D17"/>
    <w:rsid w:val="00F40DF5"/>
    <w:rsid w:val="00F40F3F"/>
    <w:rsid w:val="00F410E9"/>
    <w:rsid w:val="00F41F6F"/>
    <w:rsid w:val="00F426B7"/>
    <w:rsid w:val="00F427AA"/>
    <w:rsid w:val="00F4281F"/>
    <w:rsid w:val="00F42A4A"/>
    <w:rsid w:val="00F42AA7"/>
    <w:rsid w:val="00F42FF3"/>
    <w:rsid w:val="00F43100"/>
    <w:rsid w:val="00F4341B"/>
    <w:rsid w:val="00F4348B"/>
    <w:rsid w:val="00F43604"/>
    <w:rsid w:val="00F43801"/>
    <w:rsid w:val="00F43B34"/>
    <w:rsid w:val="00F43D21"/>
    <w:rsid w:val="00F43D8F"/>
    <w:rsid w:val="00F44D28"/>
    <w:rsid w:val="00F44D2D"/>
    <w:rsid w:val="00F45771"/>
    <w:rsid w:val="00F46D83"/>
    <w:rsid w:val="00F46E8B"/>
    <w:rsid w:val="00F47D2F"/>
    <w:rsid w:val="00F47EFA"/>
    <w:rsid w:val="00F505B2"/>
    <w:rsid w:val="00F50B85"/>
    <w:rsid w:val="00F51062"/>
    <w:rsid w:val="00F51464"/>
    <w:rsid w:val="00F517DB"/>
    <w:rsid w:val="00F51C79"/>
    <w:rsid w:val="00F520AA"/>
    <w:rsid w:val="00F5216D"/>
    <w:rsid w:val="00F52A12"/>
    <w:rsid w:val="00F52F31"/>
    <w:rsid w:val="00F530F0"/>
    <w:rsid w:val="00F53A7E"/>
    <w:rsid w:val="00F53ADE"/>
    <w:rsid w:val="00F53F7B"/>
    <w:rsid w:val="00F544E7"/>
    <w:rsid w:val="00F54609"/>
    <w:rsid w:val="00F547D6"/>
    <w:rsid w:val="00F5481E"/>
    <w:rsid w:val="00F54BCE"/>
    <w:rsid w:val="00F559BE"/>
    <w:rsid w:val="00F55F9F"/>
    <w:rsid w:val="00F56066"/>
    <w:rsid w:val="00F563D1"/>
    <w:rsid w:val="00F576D2"/>
    <w:rsid w:val="00F57E26"/>
    <w:rsid w:val="00F6019C"/>
    <w:rsid w:val="00F60874"/>
    <w:rsid w:val="00F60D84"/>
    <w:rsid w:val="00F60ED4"/>
    <w:rsid w:val="00F6159C"/>
    <w:rsid w:val="00F61887"/>
    <w:rsid w:val="00F6199B"/>
    <w:rsid w:val="00F6251F"/>
    <w:rsid w:val="00F62A77"/>
    <w:rsid w:val="00F632ED"/>
    <w:rsid w:val="00F6357B"/>
    <w:rsid w:val="00F637AA"/>
    <w:rsid w:val="00F63CF5"/>
    <w:rsid w:val="00F63F07"/>
    <w:rsid w:val="00F644C3"/>
    <w:rsid w:val="00F6470C"/>
    <w:rsid w:val="00F64768"/>
    <w:rsid w:val="00F647B2"/>
    <w:rsid w:val="00F648BF"/>
    <w:rsid w:val="00F64C89"/>
    <w:rsid w:val="00F64D2C"/>
    <w:rsid w:val="00F655E0"/>
    <w:rsid w:val="00F65930"/>
    <w:rsid w:val="00F65B6C"/>
    <w:rsid w:val="00F6729A"/>
    <w:rsid w:val="00F6745D"/>
    <w:rsid w:val="00F676A2"/>
    <w:rsid w:val="00F67746"/>
    <w:rsid w:val="00F6792E"/>
    <w:rsid w:val="00F701F9"/>
    <w:rsid w:val="00F70274"/>
    <w:rsid w:val="00F7049D"/>
    <w:rsid w:val="00F708AB"/>
    <w:rsid w:val="00F70B21"/>
    <w:rsid w:val="00F70BA0"/>
    <w:rsid w:val="00F71156"/>
    <w:rsid w:val="00F71782"/>
    <w:rsid w:val="00F71A77"/>
    <w:rsid w:val="00F71A7B"/>
    <w:rsid w:val="00F71A93"/>
    <w:rsid w:val="00F71A9E"/>
    <w:rsid w:val="00F72729"/>
    <w:rsid w:val="00F729BB"/>
    <w:rsid w:val="00F72F07"/>
    <w:rsid w:val="00F72FAE"/>
    <w:rsid w:val="00F73B2B"/>
    <w:rsid w:val="00F73F43"/>
    <w:rsid w:val="00F740B8"/>
    <w:rsid w:val="00F747F1"/>
    <w:rsid w:val="00F74AFE"/>
    <w:rsid w:val="00F74C3A"/>
    <w:rsid w:val="00F75A9F"/>
    <w:rsid w:val="00F7634B"/>
    <w:rsid w:val="00F76DDD"/>
    <w:rsid w:val="00F771A1"/>
    <w:rsid w:val="00F771D6"/>
    <w:rsid w:val="00F772B0"/>
    <w:rsid w:val="00F77D11"/>
    <w:rsid w:val="00F77E8B"/>
    <w:rsid w:val="00F77ED2"/>
    <w:rsid w:val="00F80083"/>
    <w:rsid w:val="00F80A5A"/>
    <w:rsid w:val="00F80AA3"/>
    <w:rsid w:val="00F80D42"/>
    <w:rsid w:val="00F81848"/>
    <w:rsid w:val="00F818DC"/>
    <w:rsid w:val="00F81B41"/>
    <w:rsid w:val="00F8203F"/>
    <w:rsid w:val="00F82340"/>
    <w:rsid w:val="00F82644"/>
    <w:rsid w:val="00F82ECD"/>
    <w:rsid w:val="00F83ABA"/>
    <w:rsid w:val="00F83CE5"/>
    <w:rsid w:val="00F840EB"/>
    <w:rsid w:val="00F847FF"/>
    <w:rsid w:val="00F84888"/>
    <w:rsid w:val="00F848E0"/>
    <w:rsid w:val="00F85061"/>
    <w:rsid w:val="00F853B2"/>
    <w:rsid w:val="00F86017"/>
    <w:rsid w:val="00F86FCD"/>
    <w:rsid w:val="00F873AA"/>
    <w:rsid w:val="00F878E0"/>
    <w:rsid w:val="00F87BAB"/>
    <w:rsid w:val="00F903D4"/>
    <w:rsid w:val="00F9072E"/>
    <w:rsid w:val="00F90966"/>
    <w:rsid w:val="00F90D32"/>
    <w:rsid w:val="00F910DB"/>
    <w:rsid w:val="00F912BA"/>
    <w:rsid w:val="00F913A5"/>
    <w:rsid w:val="00F923C8"/>
    <w:rsid w:val="00F924CC"/>
    <w:rsid w:val="00F9293D"/>
    <w:rsid w:val="00F92AFA"/>
    <w:rsid w:val="00F93403"/>
    <w:rsid w:val="00F93855"/>
    <w:rsid w:val="00F93A86"/>
    <w:rsid w:val="00F93DBB"/>
    <w:rsid w:val="00F94CBD"/>
    <w:rsid w:val="00F94CE2"/>
    <w:rsid w:val="00F94FC6"/>
    <w:rsid w:val="00F957DF"/>
    <w:rsid w:val="00F95F04"/>
    <w:rsid w:val="00F968C2"/>
    <w:rsid w:val="00F96C9D"/>
    <w:rsid w:val="00F96CA9"/>
    <w:rsid w:val="00F96D0A"/>
    <w:rsid w:val="00F96D9E"/>
    <w:rsid w:val="00F96E1C"/>
    <w:rsid w:val="00F96E43"/>
    <w:rsid w:val="00F97642"/>
    <w:rsid w:val="00F97717"/>
    <w:rsid w:val="00F97A35"/>
    <w:rsid w:val="00FA0030"/>
    <w:rsid w:val="00FA01A5"/>
    <w:rsid w:val="00FA062C"/>
    <w:rsid w:val="00FA069F"/>
    <w:rsid w:val="00FA124F"/>
    <w:rsid w:val="00FA125F"/>
    <w:rsid w:val="00FA146A"/>
    <w:rsid w:val="00FA1DF2"/>
    <w:rsid w:val="00FA22F4"/>
    <w:rsid w:val="00FA2DB4"/>
    <w:rsid w:val="00FA3268"/>
    <w:rsid w:val="00FA3535"/>
    <w:rsid w:val="00FA3B0F"/>
    <w:rsid w:val="00FA3D83"/>
    <w:rsid w:val="00FA3D8B"/>
    <w:rsid w:val="00FA3DF6"/>
    <w:rsid w:val="00FA48FB"/>
    <w:rsid w:val="00FA4BC8"/>
    <w:rsid w:val="00FA5148"/>
    <w:rsid w:val="00FA5394"/>
    <w:rsid w:val="00FA55FC"/>
    <w:rsid w:val="00FA5CEA"/>
    <w:rsid w:val="00FA5D16"/>
    <w:rsid w:val="00FA5F80"/>
    <w:rsid w:val="00FA6278"/>
    <w:rsid w:val="00FA6535"/>
    <w:rsid w:val="00FA7079"/>
    <w:rsid w:val="00FA7FA3"/>
    <w:rsid w:val="00FA7FAD"/>
    <w:rsid w:val="00FB0122"/>
    <w:rsid w:val="00FB067A"/>
    <w:rsid w:val="00FB0D46"/>
    <w:rsid w:val="00FB0DB2"/>
    <w:rsid w:val="00FB0FF3"/>
    <w:rsid w:val="00FB1451"/>
    <w:rsid w:val="00FB158F"/>
    <w:rsid w:val="00FB2085"/>
    <w:rsid w:val="00FB23FF"/>
    <w:rsid w:val="00FB2785"/>
    <w:rsid w:val="00FB27A6"/>
    <w:rsid w:val="00FB49C8"/>
    <w:rsid w:val="00FB5035"/>
    <w:rsid w:val="00FB5672"/>
    <w:rsid w:val="00FB58DD"/>
    <w:rsid w:val="00FB5C82"/>
    <w:rsid w:val="00FB6622"/>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7F2"/>
    <w:rsid w:val="00FC3A9B"/>
    <w:rsid w:val="00FC461E"/>
    <w:rsid w:val="00FC4DD4"/>
    <w:rsid w:val="00FC59B8"/>
    <w:rsid w:val="00FC5C92"/>
    <w:rsid w:val="00FC5EE1"/>
    <w:rsid w:val="00FC68B3"/>
    <w:rsid w:val="00FC6AE8"/>
    <w:rsid w:val="00FD0209"/>
    <w:rsid w:val="00FD07B4"/>
    <w:rsid w:val="00FD0A94"/>
    <w:rsid w:val="00FD0EC1"/>
    <w:rsid w:val="00FD1198"/>
    <w:rsid w:val="00FD1890"/>
    <w:rsid w:val="00FD1A8C"/>
    <w:rsid w:val="00FD1F50"/>
    <w:rsid w:val="00FD2D14"/>
    <w:rsid w:val="00FD36BC"/>
    <w:rsid w:val="00FD3A8F"/>
    <w:rsid w:val="00FD418B"/>
    <w:rsid w:val="00FD449E"/>
    <w:rsid w:val="00FD462B"/>
    <w:rsid w:val="00FD4879"/>
    <w:rsid w:val="00FD49F6"/>
    <w:rsid w:val="00FD4F78"/>
    <w:rsid w:val="00FD52DD"/>
    <w:rsid w:val="00FD6155"/>
    <w:rsid w:val="00FD616E"/>
    <w:rsid w:val="00FD6216"/>
    <w:rsid w:val="00FD657E"/>
    <w:rsid w:val="00FD6A71"/>
    <w:rsid w:val="00FD6A7F"/>
    <w:rsid w:val="00FD6FE0"/>
    <w:rsid w:val="00FD7475"/>
    <w:rsid w:val="00FD7A4A"/>
    <w:rsid w:val="00FD7B96"/>
    <w:rsid w:val="00FD7D1F"/>
    <w:rsid w:val="00FD7FC7"/>
    <w:rsid w:val="00FE08E6"/>
    <w:rsid w:val="00FE0C26"/>
    <w:rsid w:val="00FE1288"/>
    <w:rsid w:val="00FE19F5"/>
    <w:rsid w:val="00FE1B6D"/>
    <w:rsid w:val="00FE1C92"/>
    <w:rsid w:val="00FE2462"/>
    <w:rsid w:val="00FE281F"/>
    <w:rsid w:val="00FE2EA9"/>
    <w:rsid w:val="00FE2FA4"/>
    <w:rsid w:val="00FE3991"/>
    <w:rsid w:val="00FE3B5D"/>
    <w:rsid w:val="00FE4820"/>
    <w:rsid w:val="00FE4886"/>
    <w:rsid w:val="00FE4AAB"/>
    <w:rsid w:val="00FE4AE1"/>
    <w:rsid w:val="00FE5075"/>
    <w:rsid w:val="00FE5A09"/>
    <w:rsid w:val="00FE69D4"/>
    <w:rsid w:val="00FE746E"/>
    <w:rsid w:val="00FE7C42"/>
    <w:rsid w:val="00FF0236"/>
    <w:rsid w:val="00FF09F6"/>
    <w:rsid w:val="00FF18D7"/>
    <w:rsid w:val="00FF1998"/>
    <w:rsid w:val="00FF1D7C"/>
    <w:rsid w:val="00FF25E1"/>
    <w:rsid w:val="00FF2B2A"/>
    <w:rsid w:val="00FF337D"/>
    <w:rsid w:val="00FF3551"/>
    <w:rsid w:val="00FF3D3D"/>
    <w:rsid w:val="00FF4253"/>
    <w:rsid w:val="00FF4C26"/>
    <w:rsid w:val="00FF5596"/>
    <w:rsid w:val="00FF5A7E"/>
    <w:rsid w:val="00FF5F15"/>
    <w:rsid w:val="00FF6400"/>
    <w:rsid w:val="00FF7677"/>
    <w:rsid w:val="00FF7C9A"/>
    <w:rsid w:val="00FF7F79"/>
    <w:rsid w:val="01ACD96D"/>
    <w:rsid w:val="022840E4"/>
    <w:rsid w:val="07C59D81"/>
    <w:rsid w:val="09A677DE"/>
    <w:rsid w:val="0BAFA75E"/>
    <w:rsid w:val="0C4CAA24"/>
    <w:rsid w:val="0E64E91C"/>
    <w:rsid w:val="11A27F6C"/>
    <w:rsid w:val="16BB172B"/>
    <w:rsid w:val="18120642"/>
    <w:rsid w:val="18AC2976"/>
    <w:rsid w:val="1B8C57D0"/>
    <w:rsid w:val="1E5B5B6B"/>
    <w:rsid w:val="1E61DC87"/>
    <w:rsid w:val="1EE8773A"/>
    <w:rsid w:val="1F4856B4"/>
    <w:rsid w:val="201FCB5A"/>
    <w:rsid w:val="21B2098B"/>
    <w:rsid w:val="21B7F4A3"/>
    <w:rsid w:val="220733B5"/>
    <w:rsid w:val="221C8E03"/>
    <w:rsid w:val="23572E70"/>
    <w:rsid w:val="25AE18F8"/>
    <w:rsid w:val="26F36376"/>
    <w:rsid w:val="29271726"/>
    <w:rsid w:val="29BA66C1"/>
    <w:rsid w:val="2C18640D"/>
    <w:rsid w:val="2F3583C1"/>
    <w:rsid w:val="305FAC23"/>
    <w:rsid w:val="34DDBF2B"/>
    <w:rsid w:val="3507E1AE"/>
    <w:rsid w:val="365685A4"/>
    <w:rsid w:val="36A78BA5"/>
    <w:rsid w:val="381BD828"/>
    <w:rsid w:val="39991FA7"/>
    <w:rsid w:val="3A17A599"/>
    <w:rsid w:val="3BDB4019"/>
    <w:rsid w:val="3C02C7FA"/>
    <w:rsid w:val="3D6BEAB3"/>
    <w:rsid w:val="3FF3870E"/>
    <w:rsid w:val="40BC740B"/>
    <w:rsid w:val="41BA63F4"/>
    <w:rsid w:val="422ECEA3"/>
    <w:rsid w:val="466F6CD4"/>
    <w:rsid w:val="48510D02"/>
    <w:rsid w:val="49838CDF"/>
    <w:rsid w:val="499CC811"/>
    <w:rsid w:val="49C39E5E"/>
    <w:rsid w:val="4C713AE4"/>
    <w:rsid w:val="4E6C4763"/>
    <w:rsid w:val="4EBC71C5"/>
    <w:rsid w:val="4F47B614"/>
    <w:rsid w:val="50064168"/>
    <w:rsid w:val="51A09F7F"/>
    <w:rsid w:val="52326F4D"/>
    <w:rsid w:val="5489E6E5"/>
    <w:rsid w:val="5593E113"/>
    <w:rsid w:val="56585A6E"/>
    <w:rsid w:val="5729509A"/>
    <w:rsid w:val="591A9310"/>
    <w:rsid w:val="5959DE28"/>
    <w:rsid w:val="599E30A9"/>
    <w:rsid w:val="5A750C56"/>
    <w:rsid w:val="5B1F0BA0"/>
    <w:rsid w:val="5BA98FD1"/>
    <w:rsid w:val="5BE063F2"/>
    <w:rsid w:val="5C636DB3"/>
    <w:rsid w:val="5DB8909C"/>
    <w:rsid w:val="5E2CFAEE"/>
    <w:rsid w:val="64972DA1"/>
    <w:rsid w:val="6637E985"/>
    <w:rsid w:val="66BD6143"/>
    <w:rsid w:val="6701F282"/>
    <w:rsid w:val="686E318E"/>
    <w:rsid w:val="691010F6"/>
    <w:rsid w:val="6BFBAA4A"/>
    <w:rsid w:val="6D27845E"/>
    <w:rsid w:val="6D50E8E5"/>
    <w:rsid w:val="6E734606"/>
    <w:rsid w:val="6EE5150E"/>
    <w:rsid w:val="70153AEF"/>
    <w:rsid w:val="70640C4A"/>
    <w:rsid w:val="7265FC94"/>
    <w:rsid w:val="72D5188A"/>
    <w:rsid w:val="72F485D5"/>
    <w:rsid w:val="7368A532"/>
    <w:rsid w:val="7395CADE"/>
    <w:rsid w:val="778924F3"/>
    <w:rsid w:val="7855ECCF"/>
    <w:rsid w:val="79E63765"/>
    <w:rsid w:val="7AF06690"/>
    <w:rsid w:val="7E4591B7"/>
    <w:rsid w:val="7F2FCDA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ECABB25"/>
  <w15:docId w15:val="{628EA9DB-E4D8-4631-88F2-8DB2E837A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C6447"/>
    <w:pPr>
      <w:spacing w:after="60"/>
      <w:jc w:val="both"/>
    </w:pPr>
    <w:rPr>
      <w:szCs w:val="24"/>
    </w:rPr>
  </w:style>
  <w:style w:type="paragraph" w:styleId="Heading1">
    <w:name w:val="heading 1"/>
    <w:basedOn w:val="Normal"/>
    <w:next w:val="Normal"/>
    <w:link w:val="Heading1Char"/>
    <w:uiPriority w:val="9"/>
    <w:qFormat/>
    <w:rsid w:val="00901804"/>
    <w:pPr>
      <w:keepNext/>
      <w:numPr>
        <w:numId w:val="1"/>
      </w:numPr>
      <w:pBdr>
        <w:top w:val="single" w:sz="4" w:space="1" w:color="auto"/>
      </w:pBdr>
      <w:suppressAutoHyphens/>
      <w:spacing w:before="104" w:after="226"/>
      <w:outlineLvl w:val="0"/>
    </w:pPr>
    <w:rPr>
      <w:rFonts w:asciiTheme="majorHAnsi" w:hAnsiTheme="majorHAnsi"/>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B96700"/>
    <w:pPr>
      <w:keepNext/>
      <w:keepLines/>
      <w:widowControl w:val="0"/>
      <w:autoSpaceDE w:val="0"/>
      <w:autoSpaceDN w:val="0"/>
      <w:spacing w:before="40" w:after="0"/>
      <w:ind w:left="1152" w:hanging="1152"/>
      <w:jc w:val="left"/>
      <w:outlineLvl w:val="5"/>
    </w:pPr>
    <w:rPr>
      <w:rFonts w:asciiTheme="majorHAnsi" w:eastAsiaTheme="majorEastAsia" w:hAnsiTheme="majorHAnsi" w:cstheme="majorBidi"/>
      <w:color w:val="1F3763" w:themeColor="accent1" w:themeShade="7F"/>
      <w:sz w:val="22"/>
      <w:szCs w:val="22"/>
    </w:rPr>
  </w:style>
  <w:style w:type="paragraph" w:styleId="Heading7">
    <w:name w:val="heading 7"/>
    <w:basedOn w:val="Normal"/>
    <w:next w:val="Normal"/>
    <w:link w:val="Heading7Char"/>
    <w:uiPriority w:val="9"/>
    <w:semiHidden/>
    <w:unhideWhenUsed/>
    <w:qFormat/>
    <w:rsid w:val="00B96700"/>
    <w:pPr>
      <w:keepNext/>
      <w:keepLines/>
      <w:widowControl w:val="0"/>
      <w:autoSpaceDE w:val="0"/>
      <w:autoSpaceDN w:val="0"/>
      <w:spacing w:before="40" w:after="0"/>
      <w:ind w:left="1296" w:hanging="1296"/>
      <w:jc w:val="left"/>
      <w:outlineLvl w:val="6"/>
    </w:pPr>
    <w:rPr>
      <w:rFonts w:asciiTheme="majorHAnsi" w:eastAsiaTheme="majorEastAsia" w:hAnsiTheme="majorHAnsi" w:cstheme="majorBidi"/>
      <w:i/>
      <w:iCs/>
      <w:color w:val="1F3763" w:themeColor="accent1" w:themeShade="7F"/>
      <w:sz w:val="22"/>
      <w:szCs w:val="22"/>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B96700"/>
    <w:pPr>
      <w:keepNext/>
      <w:keepLines/>
      <w:widowControl w:val="0"/>
      <w:autoSpaceDE w:val="0"/>
      <w:autoSpaceDN w:val="0"/>
      <w:spacing w:before="40" w:after="0"/>
      <w:ind w:left="1584" w:hanging="1584"/>
      <w:jc w:val="left"/>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uiPriority w:val="9"/>
    <w:locked/>
    <w:rsid w:val="00901804"/>
    <w:rPr>
      <w:rFonts w:asciiTheme="majorHAnsi" w:hAnsiTheme="majorHAnsi"/>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S,ft"/>
    <w:basedOn w:val="Normal"/>
    <w:link w:val="FootnoteTextChar1"/>
    <w:uiPriority w:val="99"/>
    <w:qFormat/>
    <w:rsid w:val="00901804"/>
    <w:pPr>
      <w:widowControl w:val="0"/>
      <w:spacing w:after="0"/>
    </w:pPr>
    <w:rPr>
      <w:rFonts w:asciiTheme="minorHAnsi" w:hAnsiTheme="minorHAnsi"/>
      <w:sz w:val="18"/>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901804"/>
    <w:rPr>
      <w:rFonts w:asciiTheme="minorHAnsi" w:hAnsiTheme="minorHAnsi"/>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o,Ref"/>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Numbered Paragraph,H"/>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5F3BF6"/>
    <w:pPr>
      <w:tabs>
        <w:tab w:val="right" w:leader="dot" w:pos="9350"/>
      </w:tabs>
      <w:ind w:left="220"/>
    </w:pPr>
  </w:style>
  <w:style w:type="paragraph" w:styleId="TOC1">
    <w:name w:val="toc 1"/>
    <w:basedOn w:val="Normal"/>
    <w:next w:val="Normal"/>
    <w:autoRedefine/>
    <w:uiPriority w:val="39"/>
    <w:locked/>
    <w:rsid w:val="005F3BF6"/>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rmal1">
    <w:name w:val="Normal1"/>
    <w:basedOn w:val="Normal"/>
    <w:next w:val="Normal"/>
    <w:rsid w:val="00901804"/>
    <w:pPr>
      <w:numPr>
        <w:numId w:val="6"/>
      </w:numPr>
      <w:spacing w:after="0"/>
      <w:jc w:val="left"/>
    </w:pPr>
    <w:rPr>
      <w:rFonts w:eastAsia="Times New Roman"/>
      <w:noProof/>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qFormat/>
    <w:rsid w:val="00872F38"/>
    <w:pPr>
      <w:spacing w:after="160" w:line="240" w:lineRule="exact"/>
    </w:pPr>
    <w:rPr>
      <w:rFonts w:ascii="Arial" w:hAnsi="Arial"/>
      <w:sz w:val="18"/>
      <w:szCs w:val="20"/>
      <w:vertAlign w:val="superscript"/>
    </w:rPr>
  </w:style>
  <w:style w:type="character" w:customStyle="1" w:styleId="Mention1">
    <w:name w:val="Mention1"/>
    <w:uiPriority w:val="99"/>
    <w:unhideWhenUsed/>
    <w:rsid w:val="00254E0E"/>
    <w:rPr>
      <w:color w:val="2B579A"/>
      <w:shd w:val="clear" w:color="auto" w:fill="E6E6E6"/>
    </w:rPr>
  </w:style>
  <w:style w:type="paragraph" w:customStyle="1" w:styleId="xmsonormal">
    <w:name w:val="x_msonormal"/>
    <w:basedOn w:val="Normal"/>
    <w:rsid w:val="00564787"/>
    <w:pPr>
      <w:spacing w:before="100" w:beforeAutospacing="1" w:after="100" w:afterAutospacing="1"/>
      <w:jc w:val="left"/>
    </w:pPr>
    <w:rPr>
      <w:rFonts w:ascii="Times New Roman" w:eastAsia="Times New Roman" w:hAnsi="Times New Roman"/>
      <w:sz w:val="24"/>
      <w:lang w:val="es-ES" w:eastAsia="es-ES"/>
    </w:rPr>
  </w:style>
  <w:style w:type="character" w:customStyle="1" w:styleId="UnresolvedMention1">
    <w:name w:val="Unresolved Mention1"/>
    <w:uiPriority w:val="99"/>
    <w:semiHidden/>
    <w:unhideWhenUsed/>
    <w:rsid w:val="00871632"/>
    <w:rPr>
      <w:color w:val="605E5C"/>
      <w:shd w:val="clear" w:color="auto" w:fill="E1DFDD"/>
    </w:rPr>
  </w:style>
  <w:style w:type="paragraph" w:customStyle="1" w:styleId="GEFQuestion">
    <w:name w:val="GEF Question"/>
    <w:basedOn w:val="Normal"/>
    <w:next w:val="Normal"/>
    <w:qFormat/>
    <w:rsid w:val="00E349BA"/>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locked/>
    <w:rsid w:val="00E349BA"/>
    <w:rPr>
      <w:rFonts w:ascii="Times New Roman" w:eastAsia="Times New Roman" w:hAnsi="Times New Roman"/>
      <w:color w:val="000000"/>
      <w:sz w:val="22"/>
      <w:szCs w:val="22"/>
    </w:rPr>
  </w:style>
  <w:style w:type="paragraph" w:customStyle="1" w:styleId="GEFFieldtoFillout">
    <w:name w:val="GEF Field to Fill out"/>
    <w:basedOn w:val="Normal"/>
    <w:link w:val="GEFFieldtoFilloutChar"/>
    <w:qFormat/>
    <w:rsid w:val="00E349BA"/>
    <w:pPr>
      <w:spacing w:after="0"/>
      <w:ind w:left="-720"/>
      <w:jc w:val="left"/>
    </w:pPr>
    <w:rPr>
      <w:rFonts w:ascii="Times New Roman" w:eastAsia="Times New Roman" w:hAnsi="Times New Roman"/>
      <w:color w:val="000000"/>
      <w:sz w:val="22"/>
      <w:szCs w:val="22"/>
    </w:rPr>
  </w:style>
  <w:style w:type="numbering" w:customStyle="1" w:styleId="NoList1">
    <w:name w:val="No List1"/>
    <w:next w:val="NoList"/>
    <w:uiPriority w:val="99"/>
    <w:semiHidden/>
    <w:unhideWhenUsed/>
    <w:rsid w:val="007F5638"/>
  </w:style>
  <w:style w:type="paragraph" w:customStyle="1" w:styleId="GEFTableHeading">
    <w:name w:val="GEF Table Heading"/>
    <w:basedOn w:val="Normal"/>
    <w:next w:val="Normal"/>
    <w:qFormat/>
    <w:rsid w:val="007F5638"/>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F5638"/>
    <w:pPr>
      <w:spacing w:after="0"/>
      <w:ind w:left="-540"/>
      <w:jc w:val="left"/>
    </w:pPr>
    <w:rPr>
      <w:rFonts w:ascii="Times New Roman" w:eastAsia="Times New Roman" w:hAnsi="Times New Roman"/>
    </w:rPr>
  </w:style>
  <w:style w:type="table" w:customStyle="1" w:styleId="TableGrid1">
    <w:name w:val="Table Grid1"/>
    <w:basedOn w:val="TableNormal"/>
    <w:next w:val="TableGrid"/>
    <w:uiPriority w:val="59"/>
    <w:rsid w:val="007F563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470E9A"/>
    <w:pPr>
      <w:spacing w:before="60" w:line="260" w:lineRule="exact"/>
      <w:ind w:left="720" w:hanging="360"/>
      <w:jc w:val="left"/>
    </w:pPr>
    <w:rPr>
      <w:rFonts w:eastAsia="Times New Roman"/>
      <w:lang w:eastAsia="ja-JP"/>
    </w:rPr>
  </w:style>
  <w:style w:type="paragraph" w:styleId="Revision">
    <w:name w:val="Revision"/>
    <w:hidden/>
    <w:uiPriority w:val="99"/>
    <w:semiHidden/>
    <w:rsid w:val="00B60478"/>
    <w:rPr>
      <w:szCs w:val="24"/>
    </w:rPr>
  </w:style>
  <w:style w:type="character" w:customStyle="1" w:styleId="UnresolvedMention2">
    <w:name w:val="Unresolved Mention2"/>
    <w:basedOn w:val="DefaultParagraphFont"/>
    <w:uiPriority w:val="99"/>
    <w:unhideWhenUsed/>
    <w:rsid w:val="006F2077"/>
    <w:rPr>
      <w:color w:val="605E5C"/>
      <w:shd w:val="clear" w:color="auto" w:fill="E1DFDD"/>
    </w:rPr>
  </w:style>
  <w:style w:type="character" w:customStyle="1" w:styleId="Mention2">
    <w:name w:val="Mention2"/>
    <w:basedOn w:val="DefaultParagraphFont"/>
    <w:uiPriority w:val="99"/>
    <w:unhideWhenUsed/>
    <w:rsid w:val="006F2077"/>
    <w:rPr>
      <w:color w:val="2B579A"/>
      <w:shd w:val="clear" w:color="auto" w:fill="E1DFDD"/>
    </w:rPr>
  </w:style>
  <w:style w:type="character" w:customStyle="1" w:styleId="fontstyle01">
    <w:name w:val="fontstyle01"/>
    <w:rsid w:val="005E6417"/>
    <w:rPr>
      <w:rFonts w:ascii="Arial" w:hAnsi="Arial" w:cs="Arial" w:hint="default"/>
      <w:b w:val="0"/>
      <w:bCs w:val="0"/>
      <w:i w:val="0"/>
      <w:iCs w:val="0"/>
      <w:color w:val="000000"/>
      <w:sz w:val="24"/>
      <w:szCs w:val="24"/>
    </w:rPr>
  </w:style>
  <w:style w:type="character" w:customStyle="1" w:styleId="shorttext">
    <w:name w:val="short_text"/>
    <w:basedOn w:val="DefaultParagraphFont"/>
    <w:rsid w:val="0028401B"/>
  </w:style>
  <w:style w:type="character" w:customStyle="1" w:styleId="hgkelc">
    <w:name w:val="hgkelc"/>
    <w:basedOn w:val="DefaultParagraphFont"/>
    <w:rsid w:val="001F16DE"/>
  </w:style>
  <w:style w:type="character" w:customStyle="1" w:styleId="FootnoteTextChar2">
    <w:name w:val="Footnote Text Char2"/>
    <w:aliases w:val="Geneva 9 Char1,Font: Geneva 9 Char1,Boston 10 Char1,f Char1,single space Char1,footnote text Char1,Footnote Char1,otnote Text Char1,Footnote Text Char Char Char Char2,Footnote Text Char Char Char Char Char Char Char Char2,ft Char"/>
    <w:basedOn w:val="DefaultParagraphFont"/>
    <w:rsid w:val="00D459CB"/>
    <w:rPr>
      <w:sz w:val="20"/>
      <w:szCs w:val="20"/>
    </w:rPr>
  </w:style>
  <w:style w:type="character" w:customStyle="1" w:styleId="dont-break-out">
    <w:name w:val="dont-break-out"/>
    <w:basedOn w:val="DefaultParagraphFont"/>
    <w:rsid w:val="00D459CB"/>
  </w:style>
  <w:style w:type="character" w:customStyle="1" w:styleId="DefaultText">
    <w:name w:val="Default Text"/>
    <w:basedOn w:val="DefaultParagraphFont"/>
    <w:uiPriority w:val="1"/>
    <w:qFormat/>
    <w:rsid w:val="00D459CB"/>
    <w:rPr>
      <w:rFonts w:ascii="Arial" w:hAnsi="Arial"/>
      <w:sz w:val="18"/>
    </w:rPr>
  </w:style>
  <w:style w:type="paragraph" w:customStyle="1" w:styleId="Heading11">
    <w:name w:val="Heading 11"/>
    <w:basedOn w:val="Normal"/>
    <w:next w:val="Normal"/>
    <w:qFormat/>
    <w:rsid w:val="00D459CB"/>
    <w:pPr>
      <w:keepNext/>
      <w:pBdr>
        <w:top w:val="single" w:sz="4" w:space="1" w:color="auto"/>
      </w:pBdr>
      <w:tabs>
        <w:tab w:val="num" w:pos="720"/>
      </w:tabs>
      <w:suppressAutoHyphens/>
      <w:spacing w:before="104" w:after="226"/>
      <w:ind w:left="720" w:hanging="720"/>
      <w:outlineLvl w:val="0"/>
    </w:pPr>
    <w:rPr>
      <w:rFonts w:eastAsiaTheme="minorHAnsi" w:cstheme="minorBidi"/>
      <w:b/>
      <w:smallCaps/>
      <w:spacing w:val="-2"/>
      <w:sz w:val="28"/>
      <w:szCs w:val="22"/>
    </w:rPr>
  </w:style>
  <w:style w:type="paragraph" w:customStyle="1" w:styleId="msonormal0">
    <w:name w:val="msonormal"/>
    <w:basedOn w:val="Normal"/>
    <w:rsid w:val="00D459CB"/>
    <w:pPr>
      <w:spacing w:before="100" w:beforeAutospacing="1" w:after="100" w:afterAutospacing="1"/>
      <w:jc w:val="left"/>
    </w:pPr>
    <w:rPr>
      <w:rFonts w:ascii="Times New Roman" w:eastAsia="Times New Roman" w:hAnsi="Times New Roman"/>
      <w:sz w:val="24"/>
    </w:rPr>
  </w:style>
  <w:style w:type="paragraph" w:customStyle="1" w:styleId="font5">
    <w:name w:val="font5"/>
    <w:basedOn w:val="Normal"/>
    <w:rsid w:val="00D459CB"/>
    <w:pPr>
      <w:spacing w:before="100" w:beforeAutospacing="1" w:after="100" w:afterAutospacing="1"/>
      <w:jc w:val="left"/>
    </w:pPr>
    <w:rPr>
      <w:rFonts w:eastAsia="Times New Roman" w:cs="Calibri"/>
      <w:b/>
      <w:bCs/>
      <w:szCs w:val="20"/>
    </w:rPr>
  </w:style>
  <w:style w:type="paragraph" w:customStyle="1" w:styleId="font6">
    <w:name w:val="font6"/>
    <w:basedOn w:val="Normal"/>
    <w:rsid w:val="00D459CB"/>
    <w:pPr>
      <w:spacing w:before="100" w:beforeAutospacing="1" w:after="100" w:afterAutospacing="1"/>
      <w:jc w:val="left"/>
    </w:pPr>
    <w:rPr>
      <w:rFonts w:eastAsia="Times New Roman" w:cs="Calibri"/>
      <w:szCs w:val="20"/>
    </w:rPr>
  </w:style>
  <w:style w:type="paragraph" w:customStyle="1" w:styleId="font7">
    <w:name w:val="font7"/>
    <w:basedOn w:val="Normal"/>
    <w:rsid w:val="00D459CB"/>
    <w:pPr>
      <w:spacing w:before="100" w:beforeAutospacing="1" w:after="100" w:afterAutospacing="1"/>
      <w:jc w:val="left"/>
    </w:pPr>
    <w:rPr>
      <w:rFonts w:eastAsia="Times New Roman" w:cs="Calibri"/>
      <w:b/>
      <w:bCs/>
      <w:i/>
      <w:iCs/>
      <w:szCs w:val="20"/>
    </w:rPr>
  </w:style>
  <w:style w:type="paragraph" w:customStyle="1" w:styleId="font8">
    <w:name w:val="font8"/>
    <w:basedOn w:val="Normal"/>
    <w:rsid w:val="00D459CB"/>
    <w:pPr>
      <w:spacing w:before="100" w:beforeAutospacing="1" w:after="100" w:afterAutospacing="1"/>
      <w:jc w:val="left"/>
    </w:pPr>
    <w:rPr>
      <w:rFonts w:eastAsia="Times New Roman" w:cs="Calibri"/>
      <w:b/>
      <w:bCs/>
      <w:szCs w:val="20"/>
    </w:rPr>
  </w:style>
  <w:style w:type="paragraph" w:customStyle="1" w:styleId="xl65">
    <w:name w:val="xl65"/>
    <w:basedOn w:val="Normal"/>
    <w:rsid w:val="00D459C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cs="Calibri"/>
      <w:szCs w:val="20"/>
    </w:rPr>
  </w:style>
  <w:style w:type="paragraph" w:customStyle="1" w:styleId="xl66">
    <w:name w:val="xl66"/>
    <w:basedOn w:val="Normal"/>
    <w:rsid w:val="00D459CB"/>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cs="Calibri"/>
      <w:szCs w:val="20"/>
    </w:rPr>
  </w:style>
  <w:style w:type="paragraph" w:customStyle="1" w:styleId="xl67">
    <w:name w:val="xl67"/>
    <w:basedOn w:val="Normal"/>
    <w:rsid w:val="00D459CB"/>
    <w:pPr>
      <w:spacing w:before="100" w:beforeAutospacing="1" w:after="100" w:afterAutospacing="1"/>
      <w:jc w:val="left"/>
    </w:pPr>
    <w:rPr>
      <w:rFonts w:ascii="Times New Roman" w:eastAsia="Times New Roman" w:hAnsi="Times New Roman"/>
      <w:sz w:val="24"/>
    </w:rPr>
  </w:style>
  <w:style w:type="paragraph" w:customStyle="1" w:styleId="xl68">
    <w:name w:val="xl68"/>
    <w:basedOn w:val="Normal"/>
    <w:rsid w:val="00D459CB"/>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cs="Calibri"/>
      <w:szCs w:val="20"/>
    </w:rPr>
  </w:style>
  <w:style w:type="paragraph" w:customStyle="1" w:styleId="xl69">
    <w:name w:val="xl69"/>
    <w:basedOn w:val="Normal"/>
    <w:rsid w:val="00D459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szCs w:val="20"/>
    </w:rPr>
  </w:style>
  <w:style w:type="paragraph" w:customStyle="1" w:styleId="xl70">
    <w:name w:val="xl70"/>
    <w:basedOn w:val="Normal"/>
    <w:rsid w:val="00D459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b/>
      <w:bCs/>
      <w:szCs w:val="20"/>
    </w:rPr>
  </w:style>
  <w:style w:type="paragraph" w:customStyle="1" w:styleId="xl71">
    <w:name w:val="xl71"/>
    <w:basedOn w:val="Normal"/>
    <w:rsid w:val="00D459C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szCs w:val="20"/>
    </w:rPr>
  </w:style>
  <w:style w:type="paragraph" w:customStyle="1" w:styleId="xl72">
    <w:name w:val="xl72"/>
    <w:basedOn w:val="Normal"/>
    <w:rsid w:val="00D459C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cs="Calibri"/>
      <w:i/>
      <w:iCs/>
      <w:szCs w:val="20"/>
    </w:rPr>
  </w:style>
  <w:style w:type="paragraph" w:customStyle="1" w:styleId="xl73">
    <w:name w:val="xl73"/>
    <w:basedOn w:val="Normal"/>
    <w:rsid w:val="00D459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eastAsia="Times New Roman" w:cs="Calibri"/>
      <w:i/>
      <w:iCs/>
      <w:szCs w:val="20"/>
    </w:rPr>
  </w:style>
  <w:style w:type="paragraph" w:customStyle="1" w:styleId="xl74">
    <w:name w:val="xl74"/>
    <w:basedOn w:val="Normal"/>
    <w:rsid w:val="00D459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Calibri"/>
      <w:i/>
      <w:iCs/>
      <w:szCs w:val="20"/>
    </w:rPr>
  </w:style>
  <w:style w:type="paragraph" w:customStyle="1" w:styleId="xl75">
    <w:name w:val="xl75"/>
    <w:basedOn w:val="Normal"/>
    <w:rsid w:val="00D459C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i/>
      <w:iCs/>
      <w:szCs w:val="20"/>
    </w:rPr>
  </w:style>
  <w:style w:type="paragraph" w:customStyle="1" w:styleId="xl76">
    <w:name w:val="xl76"/>
    <w:basedOn w:val="Normal"/>
    <w:rsid w:val="00D459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i/>
      <w:iCs/>
      <w:szCs w:val="20"/>
    </w:rPr>
  </w:style>
  <w:style w:type="paragraph" w:customStyle="1" w:styleId="xl77">
    <w:name w:val="xl77"/>
    <w:basedOn w:val="Normal"/>
    <w:rsid w:val="00D459C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Calibri"/>
      <w:i/>
      <w:iCs/>
      <w:szCs w:val="20"/>
    </w:rPr>
  </w:style>
  <w:style w:type="paragraph" w:customStyle="1" w:styleId="xl78">
    <w:name w:val="xl78"/>
    <w:basedOn w:val="Normal"/>
    <w:rsid w:val="00D459CB"/>
    <w:pPr>
      <w:pBdr>
        <w:top w:val="single" w:sz="8" w:space="0" w:color="auto"/>
        <w:left w:val="single" w:sz="4" w:space="0" w:color="auto"/>
        <w:right w:val="single" w:sz="4" w:space="0" w:color="auto"/>
      </w:pBdr>
      <w:spacing w:before="100" w:beforeAutospacing="1" w:after="100" w:afterAutospacing="1"/>
      <w:jc w:val="center"/>
      <w:textAlignment w:val="center"/>
    </w:pPr>
    <w:rPr>
      <w:rFonts w:eastAsia="Times New Roman" w:cs="Calibri"/>
      <w:i/>
      <w:iCs/>
      <w:szCs w:val="20"/>
    </w:rPr>
  </w:style>
  <w:style w:type="paragraph" w:customStyle="1" w:styleId="xl79">
    <w:name w:val="xl79"/>
    <w:basedOn w:val="Normal"/>
    <w:rsid w:val="00D459CB"/>
    <w:pPr>
      <w:shd w:val="clear" w:color="000000" w:fill="FFFFFF"/>
      <w:spacing w:before="100" w:beforeAutospacing="1" w:after="100" w:afterAutospacing="1"/>
      <w:jc w:val="left"/>
    </w:pPr>
    <w:rPr>
      <w:rFonts w:ascii="Times New Roman" w:eastAsia="Times New Roman" w:hAnsi="Times New Roman"/>
      <w:sz w:val="24"/>
    </w:rPr>
  </w:style>
  <w:style w:type="paragraph" w:customStyle="1" w:styleId="xl80">
    <w:name w:val="xl80"/>
    <w:basedOn w:val="Normal"/>
    <w:rsid w:val="00D459CB"/>
    <w:pP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81">
    <w:name w:val="xl81"/>
    <w:basedOn w:val="Normal"/>
    <w:rsid w:val="00D459CB"/>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szCs w:val="20"/>
    </w:rPr>
  </w:style>
  <w:style w:type="paragraph" w:customStyle="1" w:styleId="xl82">
    <w:name w:val="xl82"/>
    <w:basedOn w:val="Normal"/>
    <w:rsid w:val="00D459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szCs w:val="20"/>
    </w:rPr>
  </w:style>
  <w:style w:type="paragraph" w:customStyle="1" w:styleId="xl83">
    <w:name w:val="xl83"/>
    <w:basedOn w:val="Normal"/>
    <w:rsid w:val="00D459C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cs="Calibri"/>
      <w:b/>
      <w:bCs/>
      <w:szCs w:val="20"/>
    </w:rPr>
  </w:style>
  <w:style w:type="paragraph" w:customStyle="1" w:styleId="xl84">
    <w:name w:val="xl84"/>
    <w:basedOn w:val="Normal"/>
    <w:rsid w:val="00D459CB"/>
    <w:pPr>
      <w:pBdr>
        <w:top w:val="single" w:sz="4" w:space="0" w:color="auto"/>
        <w:left w:val="single" w:sz="8" w:space="0" w:color="auto"/>
        <w:bottom w:val="single" w:sz="8" w:space="0" w:color="auto"/>
      </w:pBdr>
      <w:spacing w:before="100" w:beforeAutospacing="1" w:after="100" w:afterAutospacing="1"/>
      <w:jc w:val="left"/>
      <w:textAlignment w:val="center"/>
    </w:pPr>
    <w:rPr>
      <w:rFonts w:eastAsia="Times New Roman" w:cs="Calibri"/>
      <w:b/>
      <w:bCs/>
      <w:i/>
      <w:iCs/>
      <w:sz w:val="24"/>
    </w:rPr>
  </w:style>
  <w:style w:type="paragraph" w:customStyle="1" w:styleId="xl85">
    <w:name w:val="xl85"/>
    <w:basedOn w:val="Normal"/>
    <w:rsid w:val="00D459CB"/>
    <w:pPr>
      <w:pBdr>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86">
    <w:name w:val="xl86"/>
    <w:basedOn w:val="Normal"/>
    <w:rsid w:val="00D459CB"/>
    <w:pPr>
      <w:pBdr>
        <w:top w:val="single" w:sz="8" w:space="0" w:color="auto"/>
        <w:left w:val="single" w:sz="8" w:space="0" w:color="auto"/>
        <w:right w:val="single" w:sz="4" w:space="0" w:color="auto"/>
      </w:pBdr>
      <w:spacing w:before="100" w:beforeAutospacing="1" w:after="100" w:afterAutospacing="1"/>
      <w:jc w:val="center"/>
      <w:textAlignment w:val="center"/>
    </w:pPr>
    <w:rPr>
      <w:rFonts w:eastAsia="Times New Roman" w:cs="Calibri"/>
      <w:b/>
      <w:bCs/>
      <w:i/>
      <w:iCs/>
      <w:sz w:val="24"/>
    </w:rPr>
  </w:style>
  <w:style w:type="paragraph" w:customStyle="1" w:styleId="xl87">
    <w:name w:val="xl87"/>
    <w:basedOn w:val="Normal"/>
    <w:rsid w:val="00D459CB"/>
    <w:pPr>
      <w:pBdr>
        <w:left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88">
    <w:name w:val="xl88"/>
    <w:basedOn w:val="Normal"/>
    <w:rsid w:val="00D459CB"/>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89">
    <w:name w:val="xl89"/>
    <w:basedOn w:val="Normal"/>
    <w:rsid w:val="00D459CB"/>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szCs w:val="20"/>
    </w:rPr>
  </w:style>
  <w:style w:type="paragraph" w:customStyle="1" w:styleId="xl90">
    <w:name w:val="xl90"/>
    <w:basedOn w:val="Normal"/>
    <w:rsid w:val="00D459CB"/>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91">
    <w:name w:val="xl91"/>
    <w:basedOn w:val="Normal"/>
    <w:rsid w:val="00D459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Calibri"/>
      <w:b/>
      <w:bCs/>
      <w:i/>
      <w:iCs/>
      <w:sz w:val="24"/>
    </w:rPr>
  </w:style>
  <w:style w:type="paragraph" w:customStyle="1" w:styleId="xl92">
    <w:name w:val="xl92"/>
    <w:basedOn w:val="Normal"/>
    <w:rsid w:val="00D459C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3">
    <w:name w:val="xl93"/>
    <w:basedOn w:val="Normal"/>
    <w:rsid w:val="00D459CB"/>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4">
    <w:name w:val="xl94"/>
    <w:basedOn w:val="Normal"/>
    <w:rsid w:val="00D459CB"/>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5">
    <w:name w:val="xl95"/>
    <w:basedOn w:val="Normal"/>
    <w:rsid w:val="00D459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Cs w:val="20"/>
    </w:rPr>
  </w:style>
  <w:style w:type="paragraph" w:customStyle="1" w:styleId="xl96">
    <w:name w:val="xl96"/>
    <w:basedOn w:val="Normal"/>
    <w:rsid w:val="00D459CB"/>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i/>
      <w:iCs/>
      <w:sz w:val="24"/>
    </w:rPr>
  </w:style>
  <w:style w:type="paragraph" w:customStyle="1" w:styleId="xl97">
    <w:name w:val="xl97"/>
    <w:basedOn w:val="Normal"/>
    <w:rsid w:val="00D459CB"/>
    <w:pPr>
      <w:pBdr>
        <w:left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8">
    <w:name w:val="xl98"/>
    <w:basedOn w:val="Normal"/>
    <w:rsid w:val="00D459CB"/>
    <w:pPr>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99">
    <w:name w:val="xl99"/>
    <w:basedOn w:val="Normal"/>
    <w:rsid w:val="00D459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00">
    <w:name w:val="xl100"/>
    <w:basedOn w:val="Normal"/>
    <w:rsid w:val="00D459C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szCs w:val="20"/>
    </w:rPr>
  </w:style>
  <w:style w:type="paragraph" w:customStyle="1" w:styleId="xl101">
    <w:name w:val="xl101"/>
    <w:basedOn w:val="Normal"/>
    <w:rsid w:val="00D459CB"/>
    <w:pPr>
      <w:pBdr>
        <w:top w:val="single" w:sz="4" w:space="0" w:color="auto"/>
        <w:left w:val="single" w:sz="4" w:space="0" w:color="auto"/>
        <w:bottom w:val="single" w:sz="4" w:space="0" w:color="auto"/>
      </w:pBdr>
      <w:spacing w:before="100" w:beforeAutospacing="1" w:after="100" w:afterAutospacing="1"/>
      <w:jc w:val="left"/>
      <w:textAlignment w:val="center"/>
    </w:pPr>
    <w:rPr>
      <w:rFonts w:eastAsia="Times New Roman" w:cs="Calibri"/>
      <w:b/>
      <w:bCs/>
      <w:i/>
      <w:iCs/>
      <w:sz w:val="24"/>
    </w:rPr>
  </w:style>
  <w:style w:type="paragraph" w:customStyle="1" w:styleId="xl102">
    <w:name w:val="xl102"/>
    <w:basedOn w:val="Normal"/>
    <w:rsid w:val="00D459CB"/>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03">
    <w:name w:val="xl103"/>
    <w:basedOn w:val="Normal"/>
    <w:rsid w:val="00D459CB"/>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04">
    <w:name w:val="xl104"/>
    <w:basedOn w:val="Normal"/>
    <w:rsid w:val="00D459CB"/>
    <w:pPr>
      <w:pBdr>
        <w:top w:val="single" w:sz="8" w:space="0" w:color="auto"/>
        <w:left w:val="single" w:sz="8" w:space="0" w:color="auto"/>
        <w:right w:val="single" w:sz="4" w:space="0" w:color="auto"/>
      </w:pBdr>
      <w:shd w:val="clear" w:color="000000" w:fill="DDEBF7"/>
      <w:spacing w:before="100" w:beforeAutospacing="1" w:after="100" w:afterAutospacing="1"/>
      <w:jc w:val="center"/>
      <w:textAlignment w:val="center"/>
    </w:pPr>
    <w:rPr>
      <w:rFonts w:eastAsia="Times New Roman" w:cs="Calibri"/>
      <w:b/>
      <w:bCs/>
      <w:szCs w:val="20"/>
    </w:rPr>
  </w:style>
  <w:style w:type="paragraph" w:customStyle="1" w:styleId="xl105">
    <w:name w:val="xl105"/>
    <w:basedOn w:val="Normal"/>
    <w:rsid w:val="00D459CB"/>
    <w:pPr>
      <w:pBdr>
        <w:top w:val="single" w:sz="8" w:space="0" w:color="auto"/>
        <w:left w:val="single" w:sz="4" w:space="0" w:color="auto"/>
        <w:right w:val="single" w:sz="4" w:space="0" w:color="auto"/>
      </w:pBdr>
      <w:shd w:val="clear" w:color="000000" w:fill="DDEBF7"/>
      <w:spacing w:before="100" w:beforeAutospacing="1" w:after="100" w:afterAutospacing="1"/>
      <w:jc w:val="center"/>
      <w:textAlignment w:val="center"/>
    </w:pPr>
    <w:rPr>
      <w:rFonts w:eastAsia="Times New Roman" w:cs="Calibri"/>
      <w:b/>
      <w:bCs/>
      <w:szCs w:val="20"/>
    </w:rPr>
  </w:style>
  <w:style w:type="paragraph" w:customStyle="1" w:styleId="xl106">
    <w:name w:val="xl106"/>
    <w:basedOn w:val="Normal"/>
    <w:rsid w:val="00D459CB"/>
    <w:pPr>
      <w:pBdr>
        <w:top w:val="single" w:sz="8" w:space="0" w:color="auto"/>
        <w:left w:val="single" w:sz="4" w:space="0" w:color="auto"/>
        <w:bottom w:val="single" w:sz="4" w:space="0" w:color="auto"/>
        <w:right w:val="single" w:sz="4" w:space="0" w:color="auto"/>
      </w:pBdr>
      <w:shd w:val="clear" w:color="000000" w:fill="DDEBF7"/>
      <w:spacing w:before="100" w:beforeAutospacing="1" w:after="100" w:afterAutospacing="1"/>
      <w:jc w:val="center"/>
      <w:textAlignment w:val="center"/>
    </w:pPr>
    <w:rPr>
      <w:rFonts w:eastAsia="Times New Roman" w:cs="Calibri"/>
      <w:b/>
      <w:bCs/>
      <w:szCs w:val="20"/>
    </w:rPr>
  </w:style>
  <w:style w:type="paragraph" w:customStyle="1" w:styleId="xl107">
    <w:name w:val="xl107"/>
    <w:basedOn w:val="Normal"/>
    <w:rsid w:val="00D459CB"/>
    <w:pPr>
      <w:pBdr>
        <w:top w:val="single" w:sz="8" w:space="0" w:color="auto"/>
        <w:left w:val="single" w:sz="4" w:space="0" w:color="auto"/>
        <w:bottom w:val="single" w:sz="4" w:space="0" w:color="auto"/>
        <w:right w:val="single" w:sz="4" w:space="0" w:color="auto"/>
      </w:pBdr>
      <w:shd w:val="clear" w:color="000000" w:fill="DDEBF7"/>
      <w:spacing w:before="100" w:beforeAutospacing="1" w:after="100" w:afterAutospacing="1"/>
      <w:jc w:val="center"/>
      <w:textAlignment w:val="center"/>
    </w:pPr>
    <w:rPr>
      <w:rFonts w:ascii="Times New Roman" w:eastAsia="Times New Roman" w:hAnsi="Times New Roman"/>
      <w:b/>
      <w:bCs/>
      <w:szCs w:val="20"/>
    </w:rPr>
  </w:style>
  <w:style w:type="paragraph" w:customStyle="1" w:styleId="xl108">
    <w:name w:val="xl108"/>
    <w:basedOn w:val="Normal"/>
    <w:rsid w:val="00D459CB"/>
    <w:pPr>
      <w:pBdr>
        <w:top w:val="single" w:sz="8" w:space="0" w:color="auto"/>
        <w:left w:val="single" w:sz="4" w:space="0" w:color="auto"/>
        <w:bottom w:val="single" w:sz="4" w:space="0" w:color="auto"/>
        <w:right w:val="single" w:sz="8" w:space="0" w:color="auto"/>
      </w:pBdr>
      <w:shd w:val="clear" w:color="000000" w:fill="DDEBF7"/>
      <w:spacing w:before="100" w:beforeAutospacing="1" w:after="100" w:afterAutospacing="1"/>
      <w:jc w:val="center"/>
      <w:textAlignment w:val="center"/>
    </w:pPr>
    <w:rPr>
      <w:rFonts w:eastAsia="Times New Roman" w:cs="Calibri"/>
      <w:b/>
      <w:bCs/>
      <w:szCs w:val="20"/>
    </w:rPr>
  </w:style>
  <w:style w:type="paragraph" w:customStyle="1" w:styleId="xl109">
    <w:name w:val="xl109"/>
    <w:basedOn w:val="Normal"/>
    <w:rsid w:val="00D459CB"/>
    <w:pPr>
      <w:pBdr>
        <w:left w:val="single" w:sz="8" w:space="0" w:color="auto"/>
        <w:bottom w:val="single" w:sz="8" w:space="0" w:color="auto"/>
        <w:right w:val="single" w:sz="4" w:space="0" w:color="auto"/>
      </w:pBdr>
      <w:shd w:val="clear" w:color="000000" w:fill="DDEBF7"/>
      <w:spacing w:before="100" w:beforeAutospacing="1" w:after="100" w:afterAutospacing="1"/>
      <w:jc w:val="center"/>
      <w:textAlignment w:val="center"/>
    </w:pPr>
    <w:rPr>
      <w:rFonts w:ascii="Times New Roman" w:eastAsia="Times New Roman" w:hAnsi="Times New Roman"/>
      <w:sz w:val="24"/>
    </w:rPr>
  </w:style>
  <w:style w:type="paragraph" w:customStyle="1" w:styleId="xl110">
    <w:name w:val="xl110"/>
    <w:basedOn w:val="Normal"/>
    <w:rsid w:val="00D459CB"/>
    <w:pPr>
      <w:pBdr>
        <w:left w:val="single" w:sz="4" w:space="0" w:color="auto"/>
        <w:bottom w:val="single" w:sz="8" w:space="0" w:color="auto"/>
        <w:right w:val="single" w:sz="4" w:space="0" w:color="auto"/>
      </w:pBdr>
      <w:shd w:val="clear" w:color="000000" w:fill="DDEBF7"/>
      <w:spacing w:before="100" w:beforeAutospacing="1" w:after="100" w:afterAutospacing="1"/>
      <w:jc w:val="center"/>
      <w:textAlignment w:val="center"/>
    </w:pPr>
    <w:rPr>
      <w:rFonts w:ascii="Times New Roman" w:eastAsia="Times New Roman" w:hAnsi="Times New Roman"/>
      <w:sz w:val="24"/>
    </w:rPr>
  </w:style>
  <w:style w:type="paragraph" w:customStyle="1" w:styleId="xl111">
    <w:name w:val="xl111"/>
    <w:basedOn w:val="Normal"/>
    <w:rsid w:val="00D459CB"/>
    <w:pPr>
      <w:pBdr>
        <w:top w:val="single" w:sz="4" w:space="0" w:color="auto"/>
        <w:left w:val="single" w:sz="4" w:space="0" w:color="auto"/>
        <w:bottom w:val="single" w:sz="8" w:space="0" w:color="auto"/>
        <w:right w:val="single" w:sz="4" w:space="0" w:color="auto"/>
      </w:pBdr>
      <w:shd w:val="clear" w:color="000000" w:fill="DDEBF7"/>
      <w:spacing w:before="100" w:beforeAutospacing="1" w:after="100" w:afterAutospacing="1"/>
      <w:jc w:val="center"/>
      <w:textAlignment w:val="center"/>
    </w:pPr>
    <w:rPr>
      <w:rFonts w:eastAsia="Times New Roman" w:cs="Calibri"/>
      <w:b/>
      <w:bCs/>
      <w:szCs w:val="20"/>
    </w:rPr>
  </w:style>
  <w:style w:type="paragraph" w:customStyle="1" w:styleId="xl112">
    <w:name w:val="xl112"/>
    <w:basedOn w:val="Normal"/>
    <w:rsid w:val="00D459CB"/>
    <w:pPr>
      <w:pBdr>
        <w:top w:val="single" w:sz="4" w:space="0" w:color="auto"/>
        <w:left w:val="single" w:sz="4" w:space="0" w:color="auto"/>
        <w:bottom w:val="single" w:sz="8" w:space="0" w:color="auto"/>
        <w:right w:val="single" w:sz="4" w:space="0" w:color="auto"/>
      </w:pBdr>
      <w:shd w:val="clear" w:color="000000" w:fill="DDEBF7"/>
      <w:spacing w:before="100" w:beforeAutospacing="1" w:after="100" w:afterAutospacing="1"/>
      <w:jc w:val="center"/>
      <w:textAlignment w:val="center"/>
    </w:pPr>
    <w:rPr>
      <w:rFonts w:ascii="Times New Roman" w:eastAsia="Times New Roman" w:hAnsi="Times New Roman"/>
      <w:b/>
      <w:bCs/>
      <w:szCs w:val="20"/>
    </w:rPr>
  </w:style>
  <w:style w:type="paragraph" w:customStyle="1" w:styleId="xl113">
    <w:name w:val="xl113"/>
    <w:basedOn w:val="Normal"/>
    <w:rsid w:val="00D459CB"/>
    <w:pPr>
      <w:pBdr>
        <w:top w:val="single" w:sz="4" w:space="0" w:color="auto"/>
        <w:left w:val="single" w:sz="4" w:space="0" w:color="auto"/>
        <w:bottom w:val="single" w:sz="8" w:space="0" w:color="auto"/>
        <w:right w:val="single" w:sz="4" w:space="0" w:color="auto"/>
      </w:pBdr>
      <w:shd w:val="clear" w:color="000000" w:fill="DDEBF7"/>
      <w:spacing w:before="100" w:beforeAutospacing="1" w:after="100" w:afterAutospacing="1"/>
      <w:jc w:val="center"/>
      <w:textAlignment w:val="center"/>
    </w:pPr>
    <w:rPr>
      <w:rFonts w:eastAsia="Times New Roman" w:cs="Calibri"/>
      <w:b/>
      <w:bCs/>
      <w:i/>
      <w:iCs/>
      <w:szCs w:val="20"/>
    </w:rPr>
  </w:style>
  <w:style w:type="paragraph" w:customStyle="1" w:styleId="xl114">
    <w:name w:val="xl114"/>
    <w:basedOn w:val="Normal"/>
    <w:rsid w:val="00D459CB"/>
    <w:pPr>
      <w:pBdr>
        <w:top w:val="single" w:sz="4" w:space="0" w:color="auto"/>
        <w:left w:val="single" w:sz="4" w:space="0" w:color="auto"/>
        <w:bottom w:val="single" w:sz="8" w:space="0" w:color="auto"/>
        <w:right w:val="single" w:sz="8" w:space="0" w:color="auto"/>
      </w:pBdr>
      <w:shd w:val="clear" w:color="000000" w:fill="DDEBF7"/>
      <w:spacing w:before="100" w:beforeAutospacing="1" w:after="100" w:afterAutospacing="1"/>
      <w:jc w:val="center"/>
      <w:textAlignment w:val="center"/>
    </w:pPr>
    <w:rPr>
      <w:rFonts w:eastAsia="Times New Roman" w:cs="Calibri"/>
      <w:b/>
      <w:bCs/>
      <w:szCs w:val="20"/>
    </w:rPr>
  </w:style>
  <w:style w:type="paragraph" w:customStyle="1" w:styleId="xl115">
    <w:name w:val="xl115"/>
    <w:basedOn w:val="Normal"/>
    <w:rsid w:val="00D459CB"/>
    <w:pPr>
      <w:pBdr>
        <w:top w:val="single" w:sz="4" w:space="0" w:color="auto"/>
        <w:bottom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16">
    <w:name w:val="xl116"/>
    <w:basedOn w:val="Normal"/>
    <w:rsid w:val="00D459CB"/>
    <w:pPr>
      <w:pBdr>
        <w:top w:val="single" w:sz="4" w:space="0" w:color="auto"/>
        <w:bottom w:val="single" w:sz="8"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17">
    <w:name w:val="xl117"/>
    <w:basedOn w:val="Normal"/>
    <w:rsid w:val="00D459CB"/>
    <w:pPr>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eastAsia="Times New Roman" w:cs="Calibri"/>
      <w:b/>
      <w:bCs/>
      <w:i/>
      <w:iCs/>
      <w:sz w:val="24"/>
    </w:rPr>
  </w:style>
  <w:style w:type="paragraph" w:customStyle="1" w:styleId="xl118">
    <w:name w:val="xl118"/>
    <w:basedOn w:val="Normal"/>
    <w:rsid w:val="00D459C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cs="Calibri"/>
      <w:b/>
      <w:bCs/>
      <w:sz w:val="24"/>
    </w:rPr>
  </w:style>
  <w:style w:type="paragraph" w:customStyle="1" w:styleId="xl119">
    <w:name w:val="xl119"/>
    <w:basedOn w:val="Normal"/>
    <w:rsid w:val="00D459CB"/>
    <w:pPr>
      <w:pBdr>
        <w:top w:val="single" w:sz="8" w:space="0" w:color="auto"/>
        <w:left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i/>
      <w:iCs/>
      <w:sz w:val="24"/>
    </w:rPr>
  </w:style>
  <w:style w:type="paragraph" w:customStyle="1" w:styleId="xl120">
    <w:name w:val="xl120"/>
    <w:basedOn w:val="Normal"/>
    <w:rsid w:val="00D459C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sz w:val="24"/>
    </w:rPr>
  </w:style>
  <w:style w:type="paragraph" w:customStyle="1" w:styleId="xl121">
    <w:name w:val="xl121"/>
    <w:basedOn w:val="Normal"/>
    <w:rsid w:val="00D459CB"/>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szCs w:val="20"/>
    </w:rPr>
  </w:style>
  <w:style w:type="paragraph" w:customStyle="1" w:styleId="xl122">
    <w:name w:val="xl122"/>
    <w:basedOn w:val="Normal"/>
    <w:rsid w:val="00D459CB"/>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left"/>
      <w:textAlignment w:val="center"/>
    </w:pPr>
    <w:rPr>
      <w:rFonts w:eastAsia="Times New Roman" w:cs="Calibri"/>
      <w:i/>
      <w:iCs/>
      <w:szCs w:val="20"/>
    </w:rPr>
  </w:style>
  <w:style w:type="paragraph" w:customStyle="1" w:styleId="xl123">
    <w:name w:val="xl123"/>
    <w:basedOn w:val="Normal"/>
    <w:rsid w:val="00D459CB"/>
    <w:pPr>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24">
    <w:name w:val="xl124"/>
    <w:basedOn w:val="Normal"/>
    <w:rsid w:val="00D459CB"/>
    <w:pPr>
      <w:pBdr>
        <w:top w:val="single" w:sz="8" w:space="0" w:color="auto"/>
        <w:left w:val="single" w:sz="8" w:space="0" w:color="auto"/>
        <w:bottom w:val="single" w:sz="8" w:space="0" w:color="auto"/>
      </w:pBdr>
      <w:spacing w:before="100" w:beforeAutospacing="1" w:after="100" w:afterAutospacing="1"/>
      <w:jc w:val="left"/>
      <w:textAlignment w:val="center"/>
    </w:pPr>
    <w:rPr>
      <w:rFonts w:eastAsia="Times New Roman" w:cs="Calibri"/>
      <w:b/>
      <w:bCs/>
      <w:i/>
      <w:iCs/>
      <w:sz w:val="24"/>
    </w:rPr>
  </w:style>
  <w:style w:type="paragraph" w:customStyle="1" w:styleId="xl125">
    <w:name w:val="xl125"/>
    <w:basedOn w:val="Normal"/>
    <w:rsid w:val="00D459CB"/>
    <w:pPr>
      <w:pBdr>
        <w:top w:val="single" w:sz="8" w:space="0" w:color="auto"/>
        <w:bottom w:val="single" w:sz="8"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26">
    <w:name w:val="xl126"/>
    <w:basedOn w:val="Normal"/>
    <w:rsid w:val="00D459CB"/>
    <w:pPr>
      <w:pBdr>
        <w:top w:val="single" w:sz="8" w:space="0" w:color="auto"/>
        <w:bottom w:val="single" w:sz="8"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27">
    <w:name w:val="xl127"/>
    <w:basedOn w:val="Normal"/>
    <w:rsid w:val="00D459CB"/>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left"/>
      <w:textAlignment w:val="center"/>
    </w:pPr>
    <w:rPr>
      <w:rFonts w:eastAsia="Times New Roman" w:cs="Calibri"/>
      <w:i/>
      <w:iCs/>
      <w:szCs w:val="20"/>
    </w:rPr>
  </w:style>
  <w:style w:type="paragraph" w:customStyle="1" w:styleId="xl128">
    <w:name w:val="xl128"/>
    <w:basedOn w:val="Normal"/>
    <w:rsid w:val="00D459CB"/>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cs="Calibri"/>
      <w:b/>
      <w:bCs/>
      <w:szCs w:val="20"/>
    </w:rPr>
  </w:style>
  <w:style w:type="paragraph" w:customStyle="1" w:styleId="xl129">
    <w:name w:val="xl129"/>
    <w:basedOn w:val="Normal"/>
    <w:rsid w:val="00D459CB"/>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cs="Calibri"/>
      <w:b/>
      <w:bCs/>
      <w:sz w:val="24"/>
    </w:rPr>
  </w:style>
  <w:style w:type="paragraph" w:customStyle="1" w:styleId="xl130">
    <w:name w:val="xl130"/>
    <w:basedOn w:val="Normal"/>
    <w:rsid w:val="00D459CB"/>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cs="Calibri"/>
      <w:szCs w:val="20"/>
    </w:rPr>
  </w:style>
  <w:style w:type="paragraph" w:customStyle="1" w:styleId="xl131">
    <w:name w:val="xl131"/>
    <w:basedOn w:val="Normal"/>
    <w:rsid w:val="00D459CB"/>
    <w:pPr>
      <w:pBdr>
        <w:top w:val="single" w:sz="8" w:space="0" w:color="auto"/>
        <w:left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b/>
      <w:bCs/>
      <w:i/>
      <w:iCs/>
      <w:sz w:val="24"/>
    </w:rPr>
  </w:style>
  <w:style w:type="paragraph" w:customStyle="1" w:styleId="xl132">
    <w:name w:val="xl132"/>
    <w:basedOn w:val="Normal"/>
    <w:rsid w:val="00D459CB"/>
    <w:pPr>
      <w:pBdr>
        <w:left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33">
    <w:name w:val="xl133"/>
    <w:basedOn w:val="Normal"/>
    <w:rsid w:val="00D459CB"/>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34">
    <w:name w:val="xl134"/>
    <w:basedOn w:val="Normal"/>
    <w:rsid w:val="00D459CB"/>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cs="Calibri"/>
      <w:b/>
      <w:bCs/>
      <w:sz w:val="24"/>
    </w:rPr>
  </w:style>
  <w:style w:type="paragraph" w:customStyle="1" w:styleId="xl135">
    <w:name w:val="xl135"/>
    <w:basedOn w:val="Normal"/>
    <w:rsid w:val="00D459CB"/>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cs="Calibri"/>
      <w:szCs w:val="20"/>
    </w:rPr>
  </w:style>
  <w:style w:type="paragraph" w:customStyle="1" w:styleId="xl136">
    <w:name w:val="xl136"/>
    <w:basedOn w:val="Normal"/>
    <w:rsid w:val="00D459CB"/>
    <w:pPr>
      <w:pBdr>
        <w:top w:val="single" w:sz="8" w:space="0" w:color="auto"/>
        <w:left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b/>
      <w:bCs/>
      <w:i/>
      <w:iCs/>
      <w:sz w:val="24"/>
    </w:rPr>
  </w:style>
  <w:style w:type="paragraph" w:customStyle="1" w:styleId="xl137">
    <w:name w:val="xl137"/>
    <w:basedOn w:val="Normal"/>
    <w:rsid w:val="00D459CB"/>
    <w:pPr>
      <w:pBdr>
        <w:left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38">
    <w:name w:val="xl138"/>
    <w:basedOn w:val="Normal"/>
    <w:rsid w:val="00D459CB"/>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24"/>
    </w:rPr>
  </w:style>
  <w:style w:type="paragraph" w:customStyle="1" w:styleId="xl139">
    <w:name w:val="xl139"/>
    <w:basedOn w:val="Normal"/>
    <w:rsid w:val="00D459CB"/>
    <w:pPr>
      <w:pBdr>
        <w:top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rPr>
  </w:style>
  <w:style w:type="paragraph" w:customStyle="1" w:styleId="xl140">
    <w:name w:val="xl140"/>
    <w:basedOn w:val="Normal"/>
    <w:rsid w:val="00D459C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24"/>
    </w:rPr>
  </w:style>
  <w:style w:type="paragraph" w:customStyle="1" w:styleId="xl141">
    <w:name w:val="xl141"/>
    <w:basedOn w:val="Normal"/>
    <w:rsid w:val="00D459C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i/>
      <w:iCs/>
      <w:szCs w:val="20"/>
    </w:rPr>
  </w:style>
  <w:style w:type="paragraph" w:customStyle="1" w:styleId="xl142">
    <w:name w:val="xl142"/>
    <w:basedOn w:val="Normal"/>
    <w:rsid w:val="00D459CB"/>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cs="Calibri"/>
      <w:i/>
      <w:iCs/>
      <w:szCs w:val="20"/>
    </w:rPr>
  </w:style>
  <w:style w:type="paragraph" w:customStyle="1" w:styleId="xl143">
    <w:name w:val="xl143"/>
    <w:basedOn w:val="Normal"/>
    <w:rsid w:val="00D459CB"/>
    <w:pPr>
      <w:pBdr>
        <w:top w:val="single" w:sz="8" w:space="0" w:color="auto"/>
        <w:bottom w:val="single" w:sz="8" w:space="0" w:color="auto"/>
        <w:right w:val="single" w:sz="8" w:space="0" w:color="000000"/>
      </w:pBdr>
      <w:shd w:val="clear" w:color="000000" w:fill="D9D9D9"/>
      <w:spacing w:before="100" w:beforeAutospacing="1" w:after="100" w:afterAutospacing="1"/>
      <w:jc w:val="left"/>
      <w:textAlignment w:val="center"/>
    </w:pPr>
    <w:rPr>
      <w:rFonts w:ascii="Times New Roman" w:eastAsia="Times New Roman" w:hAnsi="Times New Roman"/>
      <w:b/>
      <w:bCs/>
      <w:i/>
      <w:iCs/>
      <w:color w:val="000000"/>
      <w:sz w:val="18"/>
      <w:szCs w:val="18"/>
    </w:rPr>
  </w:style>
  <w:style w:type="paragraph" w:customStyle="1" w:styleId="xl144">
    <w:name w:val="xl144"/>
    <w:basedOn w:val="Normal"/>
    <w:rsid w:val="00D459CB"/>
    <w:pPr>
      <w:pBdr>
        <w:top w:val="single" w:sz="8" w:space="0" w:color="auto"/>
        <w:bottom w:val="single" w:sz="8" w:space="0" w:color="auto"/>
        <w:right w:val="single" w:sz="8" w:space="0" w:color="auto"/>
      </w:pBdr>
      <w:shd w:val="clear" w:color="000000" w:fill="D9D9D9"/>
      <w:spacing w:before="100" w:beforeAutospacing="1" w:after="100" w:afterAutospacing="1"/>
      <w:jc w:val="left"/>
      <w:textAlignment w:val="center"/>
    </w:pPr>
    <w:rPr>
      <w:rFonts w:ascii="Times New Roman" w:eastAsia="Times New Roman" w:hAnsi="Times New Roman"/>
      <w:b/>
      <w:bCs/>
      <w:i/>
      <w:iCs/>
      <w:color w:val="000000"/>
      <w:sz w:val="18"/>
      <w:szCs w:val="18"/>
    </w:rPr>
  </w:style>
  <w:style w:type="paragraph" w:customStyle="1" w:styleId="xl145">
    <w:name w:val="xl145"/>
    <w:basedOn w:val="Normal"/>
    <w:rsid w:val="00D459CB"/>
    <w:pPr>
      <w:pBdr>
        <w:top w:val="single" w:sz="8" w:space="0" w:color="000000"/>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i/>
      <w:iCs/>
      <w:sz w:val="18"/>
      <w:szCs w:val="18"/>
    </w:rPr>
  </w:style>
  <w:style w:type="paragraph" w:customStyle="1" w:styleId="xl146">
    <w:name w:val="xl146"/>
    <w:basedOn w:val="Normal"/>
    <w:rsid w:val="00D459CB"/>
    <w:pPr>
      <w:pBdr>
        <w:top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i/>
      <w:iCs/>
      <w:color w:val="000000"/>
      <w:sz w:val="18"/>
      <w:szCs w:val="18"/>
    </w:rPr>
  </w:style>
  <w:style w:type="paragraph" w:customStyle="1" w:styleId="xl147">
    <w:name w:val="xl147"/>
    <w:basedOn w:val="Normal"/>
    <w:rsid w:val="00D459CB"/>
    <w:pPr>
      <w:pBdr>
        <w:right w:val="single" w:sz="8" w:space="0" w:color="auto"/>
      </w:pBdr>
      <w:spacing w:before="100" w:beforeAutospacing="1" w:after="100" w:afterAutospacing="1"/>
      <w:jc w:val="center"/>
      <w:textAlignment w:val="center"/>
    </w:pPr>
    <w:rPr>
      <w:rFonts w:ascii="Times New Roman" w:eastAsia="Times New Roman" w:hAnsi="Times New Roman"/>
      <w:i/>
      <w:iCs/>
      <w:color w:val="000000"/>
      <w:sz w:val="18"/>
      <w:szCs w:val="18"/>
    </w:rPr>
  </w:style>
  <w:style w:type="paragraph" w:customStyle="1" w:styleId="xl148">
    <w:name w:val="xl148"/>
    <w:basedOn w:val="Normal"/>
    <w:rsid w:val="00D459CB"/>
    <w:pPr>
      <w:pBdr>
        <w:top w:val="single" w:sz="8" w:space="0" w:color="auto"/>
        <w:left w:val="single" w:sz="8" w:space="0" w:color="auto"/>
        <w:right w:val="single" w:sz="8" w:space="0" w:color="auto"/>
      </w:pBdr>
      <w:shd w:val="clear" w:color="000000" w:fill="DDEBF7"/>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49">
    <w:name w:val="xl149"/>
    <w:basedOn w:val="Normal"/>
    <w:rsid w:val="00D459CB"/>
    <w:pPr>
      <w:pBdr>
        <w:left w:val="single" w:sz="8" w:space="0" w:color="auto"/>
        <w:bottom w:val="single" w:sz="8" w:space="0" w:color="000000"/>
        <w:right w:val="single" w:sz="8" w:space="0" w:color="auto"/>
      </w:pBdr>
      <w:shd w:val="clear" w:color="000000" w:fill="DDEBF7"/>
      <w:spacing w:before="100" w:beforeAutospacing="1" w:after="100" w:afterAutospacing="1"/>
      <w:jc w:val="center"/>
      <w:textAlignment w:val="center"/>
    </w:pPr>
    <w:rPr>
      <w:rFonts w:ascii="Times New Roman" w:eastAsia="Times New Roman" w:hAnsi="Times New Roman"/>
      <w:b/>
      <w:bCs/>
      <w:color w:val="000000"/>
      <w:sz w:val="18"/>
      <w:szCs w:val="18"/>
    </w:rPr>
  </w:style>
  <w:style w:type="paragraph" w:customStyle="1" w:styleId="xl150">
    <w:name w:val="xl150"/>
    <w:basedOn w:val="Normal"/>
    <w:rsid w:val="00D459CB"/>
    <w:pPr>
      <w:pBdr>
        <w:left w:val="single" w:sz="8" w:space="0" w:color="auto"/>
        <w:right w:val="single" w:sz="8" w:space="0" w:color="auto"/>
      </w:pBdr>
      <w:shd w:val="clear" w:color="000000" w:fill="DDEBF7"/>
      <w:spacing w:before="100" w:beforeAutospacing="1" w:after="100" w:afterAutospacing="1"/>
      <w:jc w:val="center"/>
      <w:textAlignment w:val="center"/>
    </w:pPr>
    <w:rPr>
      <w:rFonts w:ascii="Times New Roman" w:eastAsia="Times New Roman" w:hAnsi="Times New Roman"/>
      <w:b/>
      <w:bCs/>
      <w:color w:val="000000"/>
      <w:sz w:val="18"/>
      <w:szCs w:val="18"/>
    </w:rPr>
  </w:style>
  <w:style w:type="table" w:customStyle="1" w:styleId="Gitternetztabelle4Akzent11">
    <w:name w:val="Gitternetztabelle 4 – Akzent 11"/>
    <w:basedOn w:val="TableNormal"/>
    <w:next w:val="GridTable4-Accent1"/>
    <w:uiPriority w:val="49"/>
    <w:rsid w:val="0055662A"/>
    <w:rPr>
      <w:rFonts w:asciiTheme="minorHAnsi" w:eastAsiaTheme="minorHAnsi" w:hAnsiTheme="minorHAnsi" w:cstheme="minorBidi"/>
      <w:sz w:val="22"/>
      <w:szCs w:val="22"/>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1">
    <w:name w:val="Grid Table 4 Accent 1"/>
    <w:basedOn w:val="TableNormal"/>
    <w:uiPriority w:val="49"/>
    <w:rsid w:val="0055662A"/>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6Char">
    <w:name w:val="Heading 6 Char"/>
    <w:basedOn w:val="DefaultParagraphFont"/>
    <w:link w:val="Heading6"/>
    <w:uiPriority w:val="9"/>
    <w:semiHidden/>
    <w:rsid w:val="00B96700"/>
    <w:rPr>
      <w:rFonts w:asciiTheme="majorHAnsi" w:eastAsiaTheme="majorEastAsia" w:hAnsiTheme="majorHAnsi" w:cstheme="majorBidi"/>
      <w:color w:val="1F3763" w:themeColor="accent1" w:themeShade="7F"/>
      <w:sz w:val="22"/>
      <w:szCs w:val="22"/>
    </w:rPr>
  </w:style>
  <w:style w:type="character" w:customStyle="1" w:styleId="Heading7Char">
    <w:name w:val="Heading 7 Char"/>
    <w:basedOn w:val="DefaultParagraphFont"/>
    <w:link w:val="Heading7"/>
    <w:uiPriority w:val="9"/>
    <w:semiHidden/>
    <w:rsid w:val="00B96700"/>
    <w:rPr>
      <w:rFonts w:asciiTheme="majorHAnsi" w:eastAsiaTheme="majorEastAsia" w:hAnsiTheme="majorHAnsi" w:cstheme="majorBidi"/>
      <w:i/>
      <w:iCs/>
      <w:color w:val="1F3763" w:themeColor="accent1" w:themeShade="7F"/>
      <w:sz w:val="22"/>
      <w:szCs w:val="22"/>
    </w:rPr>
  </w:style>
  <w:style w:type="character" w:customStyle="1" w:styleId="Heading9Char">
    <w:name w:val="Heading 9 Char"/>
    <w:basedOn w:val="DefaultParagraphFont"/>
    <w:link w:val="Heading9"/>
    <w:uiPriority w:val="9"/>
    <w:semiHidden/>
    <w:rsid w:val="00B96700"/>
    <w:rPr>
      <w:rFonts w:asciiTheme="majorHAnsi" w:eastAsiaTheme="majorEastAsia" w:hAnsiTheme="majorHAnsi" w:cstheme="majorBidi"/>
      <w:i/>
      <w:iCs/>
      <w:color w:val="272727" w:themeColor="text1" w:themeTint="D8"/>
      <w:sz w:val="21"/>
      <w:szCs w:val="21"/>
    </w:rPr>
  </w:style>
  <w:style w:type="paragraph" w:customStyle="1" w:styleId="paragraph0">
    <w:name w:val="paragraph"/>
    <w:basedOn w:val="Normal"/>
    <w:rsid w:val="00B96700"/>
    <w:pPr>
      <w:spacing w:before="100" w:beforeAutospacing="1" w:after="100" w:afterAutospacing="1"/>
      <w:jc w:val="left"/>
    </w:pPr>
    <w:rPr>
      <w:rFonts w:ascii="Times New Roman" w:eastAsia="Times New Roman" w:hAnsi="Times New Roman"/>
      <w:sz w:val="24"/>
    </w:rPr>
  </w:style>
  <w:style w:type="character" w:customStyle="1" w:styleId="normaltextrun">
    <w:name w:val="normaltextrun"/>
    <w:basedOn w:val="DefaultParagraphFont"/>
    <w:rsid w:val="00B96700"/>
  </w:style>
  <w:style w:type="character" w:customStyle="1" w:styleId="eop">
    <w:name w:val="eop"/>
    <w:basedOn w:val="DefaultParagraphFont"/>
    <w:rsid w:val="00B96700"/>
  </w:style>
  <w:style w:type="character" w:styleId="SubtleEmphasis">
    <w:name w:val="Subtle Emphasis"/>
    <w:basedOn w:val="DefaultParagraphFont"/>
    <w:uiPriority w:val="19"/>
    <w:qFormat/>
    <w:rsid w:val="00B96700"/>
    <w:rPr>
      <w:i/>
      <w:iCs/>
      <w:color w:val="404040" w:themeColor="text1" w:themeTint="BF"/>
    </w:rPr>
  </w:style>
  <w:style w:type="paragraph" w:styleId="Quote">
    <w:name w:val="Quote"/>
    <w:basedOn w:val="Normal"/>
    <w:next w:val="Normal"/>
    <w:link w:val="QuoteChar"/>
    <w:uiPriority w:val="29"/>
    <w:qFormat/>
    <w:rsid w:val="00B96700"/>
    <w:pPr>
      <w:spacing w:before="200" w:after="160" w:line="259" w:lineRule="auto"/>
      <w:ind w:left="864" w:right="864"/>
      <w:jc w:val="center"/>
    </w:pPr>
    <w:rPr>
      <w:rFonts w:asciiTheme="minorHAnsi" w:eastAsiaTheme="minorHAnsi" w:hAnsiTheme="minorHAnsi" w:cstheme="minorBidi"/>
      <w:i/>
      <w:iCs/>
      <w:color w:val="404040" w:themeColor="text1" w:themeTint="BF"/>
      <w:sz w:val="18"/>
      <w:szCs w:val="22"/>
    </w:rPr>
  </w:style>
  <w:style w:type="character" w:customStyle="1" w:styleId="QuoteChar">
    <w:name w:val="Quote Char"/>
    <w:basedOn w:val="DefaultParagraphFont"/>
    <w:link w:val="Quote"/>
    <w:uiPriority w:val="29"/>
    <w:rsid w:val="00B96700"/>
    <w:rPr>
      <w:rFonts w:asciiTheme="minorHAnsi" w:eastAsiaTheme="minorHAnsi" w:hAnsiTheme="minorHAnsi" w:cstheme="minorBidi"/>
      <w:i/>
      <w:iCs/>
      <w:color w:val="404040" w:themeColor="text1" w:themeTint="BF"/>
      <w:sz w:val="18"/>
      <w:szCs w:val="22"/>
    </w:rPr>
  </w:style>
  <w:style w:type="numbering" w:customStyle="1" w:styleId="Style1">
    <w:name w:val="Style1"/>
    <w:uiPriority w:val="99"/>
    <w:rsid w:val="00B96700"/>
    <w:pPr>
      <w:numPr>
        <w:numId w:val="38"/>
      </w:numPr>
    </w:pPr>
  </w:style>
  <w:style w:type="character" w:styleId="SubtleReference">
    <w:name w:val="Subtle Reference"/>
    <w:basedOn w:val="DefaultParagraphFont"/>
    <w:uiPriority w:val="31"/>
    <w:qFormat/>
    <w:rsid w:val="00B96700"/>
    <w:rPr>
      <w:smallCaps/>
      <w:color w:val="5A5A5A" w:themeColor="text1" w:themeTint="A5"/>
    </w:rPr>
  </w:style>
  <w:style w:type="paragraph" w:styleId="TOC4">
    <w:name w:val="toc 4"/>
    <w:basedOn w:val="Normal"/>
    <w:next w:val="Normal"/>
    <w:autoRedefine/>
    <w:uiPriority w:val="39"/>
    <w:unhideWhenUsed/>
    <w:rsid w:val="00B96700"/>
    <w:pPr>
      <w:spacing w:after="100" w:line="259" w:lineRule="auto"/>
      <w:ind w:left="660"/>
      <w:jc w:val="left"/>
    </w:pPr>
    <w:rPr>
      <w:rFonts w:asciiTheme="minorHAnsi" w:eastAsiaTheme="minorHAnsi" w:hAnsiTheme="minorHAnsi" w:cstheme="minorBidi"/>
      <w:sz w:val="22"/>
      <w:szCs w:val="22"/>
    </w:rPr>
  </w:style>
  <w:style w:type="table" w:customStyle="1" w:styleId="TableGrid2">
    <w:name w:val="Table Grid2"/>
    <w:basedOn w:val="TableNormal"/>
    <w:next w:val="TableGrid"/>
    <w:uiPriority w:val="39"/>
    <w:rsid w:val="00B96700"/>
    <w:rPr>
      <w:rFonts w:asciiTheme="minorHAnsi" w:eastAsiaTheme="minorEastAsia" w:hAnsiTheme="minorHAnsi" w:cstheme="minorBidi"/>
      <w:sz w:val="2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11">
    <w:name w:val="Grid Table 4 - Accent 11"/>
    <w:basedOn w:val="TableNormal"/>
    <w:uiPriority w:val="49"/>
    <w:rsid w:val="00B96700"/>
    <w:rPr>
      <w:rFonts w:asciiTheme="minorHAnsi" w:eastAsiaTheme="minorHAnsi" w:hAnsiTheme="minorHAnsi" w:cstheme="minorBidi"/>
      <w:sz w:val="22"/>
      <w:szCs w:val="22"/>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21">
    <w:name w:val="List Table 3 - Accent 21"/>
    <w:basedOn w:val="TableNormal"/>
    <w:uiPriority w:val="48"/>
    <w:rsid w:val="00B96700"/>
    <w:rPr>
      <w:rFonts w:asciiTheme="minorHAnsi" w:eastAsiaTheme="minorHAnsi" w:hAnsiTheme="minorHAnsi" w:cstheme="minorBidi"/>
      <w:sz w:val="22"/>
      <w:szCs w:val="22"/>
    </w:r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customStyle="1" w:styleId="ListTable3-Accent11">
    <w:name w:val="List Table 3 - Accent 11"/>
    <w:basedOn w:val="TableNormal"/>
    <w:uiPriority w:val="48"/>
    <w:rsid w:val="00B96700"/>
    <w:rPr>
      <w:rFonts w:asciiTheme="minorHAnsi" w:eastAsiaTheme="minorHAnsi" w:hAnsiTheme="minorHAnsi" w:cstheme="minorBidi"/>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PlaceholderText">
    <w:name w:val="Placeholder Text"/>
    <w:basedOn w:val="DefaultParagraphFont"/>
    <w:uiPriority w:val="99"/>
    <w:semiHidden/>
    <w:rsid w:val="00B96700"/>
    <w:rPr>
      <w:color w:val="808080"/>
    </w:rPr>
  </w:style>
  <w:style w:type="paragraph" w:styleId="Date">
    <w:name w:val="Date"/>
    <w:basedOn w:val="Normal"/>
    <w:next w:val="Normal"/>
    <w:link w:val="DateChar"/>
    <w:uiPriority w:val="99"/>
    <w:unhideWhenUsed/>
    <w:rsid w:val="00B96700"/>
    <w:pPr>
      <w:spacing w:after="160" w:line="259" w:lineRule="auto"/>
      <w:jc w:val="left"/>
    </w:pPr>
    <w:rPr>
      <w:rFonts w:asciiTheme="minorHAnsi" w:eastAsiaTheme="minorHAnsi" w:hAnsiTheme="minorHAnsi" w:cstheme="minorBidi"/>
      <w:sz w:val="22"/>
      <w:szCs w:val="22"/>
    </w:rPr>
  </w:style>
  <w:style w:type="character" w:customStyle="1" w:styleId="DateChar">
    <w:name w:val="Date Char"/>
    <w:basedOn w:val="DefaultParagraphFont"/>
    <w:link w:val="Date"/>
    <w:uiPriority w:val="99"/>
    <w:rsid w:val="00B96700"/>
    <w:rPr>
      <w:rFonts w:asciiTheme="minorHAnsi" w:eastAsiaTheme="minorHAnsi" w:hAnsiTheme="minorHAnsi" w:cstheme="minorBidi"/>
      <w:sz w:val="22"/>
      <w:szCs w:val="22"/>
    </w:rPr>
  </w:style>
  <w:style w:type="character" w:customStyle="1" w:styleId="cf01">
    <w:name w:val="cf01"/>
    <w:basedOn w:val="DefaultParagraphFont"/>
    <w:rsid w:val="00B96700"/>
    <w:rPr>
      <w:rFonts w:ascii="Segoe UI" w:hAnsi="Segoe UI" w:cs="Segoe UI" w:hint="default"/>
      <w:sz w:val="18"/>
      <w:szCs w:val="18"/>
    </w:rPr>
  </w:style>
  <w:style w:type="paragraph" w:customStyle="1" w:styleId="Pa22">
    <w:name w:val="Pa22"/>
    <w:basedOn w:val="Default"/>
    <w:next w:val="Default"/>
    <w:uiPriority w:val="99"/>
    <w:rsid w:val="00B96700"/>
    <w:pPr>
      <w:spacing w:line="201" w:lineRule="atLeast"/>
    </w:pPr>
    <w:rPr>
      <w:rFonts w:ascii="Open Sans Light" w:eastAsiaTheme="minorHAnsi" w:hAnsi="Open Sans Light" w:cs="Times New Roman"/>
      <w:color w:val="auto"/>
      <w:lang w:eastAsia="en-US"/>
    </w:rPr>
  </w:style>
  <w:style w:type="character" w:styleId="UnresolvedMention">
    <w:name w:val="Unresolved Mention"/>
    <w:basedOn w:val="DefaultParagraphFont"/>
    <w:uiPriority w:val="99"/>
    <w:semiHidden/>
    <w:unhideWhenUsed/>
    <w:rsid w:val="00B96700"/>
    <w:rPr>
      <w:color w:val="605E5C"/>
      <w:shd w:val="clear" w:color="auto" w:fill="E1DFDD"/>
    </w:rPr>
  </w:style>
  <w:style w:type="character" w:styleId="Mention">
    <w:name w:val="Mention"/>
    <w:basedOn w:val="DefaultParagraphFont"/>
    <w:uiPriority w:val="99"/>
    <w:unhideWhenUsed/>
    <w:rsid w:val="00B96700"/>
    <w:rPr>
      <w:color w:val="2B579A"/>
      <w:shd w:val="clear" w:color="auto" w:fill="E1DFDD"/>
    </w:rPr>
  </w:style>
  <w:style w:type="table" w:styleId="ListTable3-Accent2">
    <w:name w:val="List Table 3 Accent 2"/>
    <w:basedOn w:val="TableNormal"/>
    <w:uiPriority w:val="48"/>
    <w:rsid w:val="00B96700"/>
    <w:rPr>
      <w:rFonts w:asciiTheme="minorHAnsi" w:eastAsiaTheme="minorHAnsi" w:hAnsiTheme="minorHAnsi" w:cstheme="minorBidi"/>
      <w:sz w:val="22"/>
      <w:szCs w:val="22"/>
    </w:r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character" w:customStyle="1" w:styleId="kx21rb">
    <w:name w:val="kx21rb"/>
    <w:basedOn w:val="DefaultParagraphFont"/>
    <w:rsid w:val="00B96700"/>
  </w:style>
  <w:style w:type="paragraph" w:customStyle="1" w:styleId="p28">
    <w:name w:val="p28"/>
    <w:basedOn w:val="Normal"/>
    <w:rsid w:val="0014522F"/>
    <w:pPr>
      <w:widowControl w:val="0"/>
      <w:tabs>
        <w:tab w:val="left" w:pos="680"/>
        <w:tab w:val="left" w:pos="1060"/>
      </w:tabs>
      <w:spacing w:after="0" w:line="240" w:lineRule="atLeast"/>
      <w:ind w:left="432" w:hanging="288"/>
      <w:jc w:val="left"/>
    </w:pPr>
    <w:rPr>
      <w:rFonts w:ascii="Times New Roman" w:eastAsia="Times New Roman" w:hAnsi="Times New Roman"/>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2145">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103554">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64795040">
      <w:bodyDiv w:val="1"/>
      <w:marLeft w:val="0"/>
      <w:marRight w:val="0"/>
      <w:marTop w:val="0"/>
      <w:marBottom w:val="0"/>
      <w:divBdr>
        <w:top w:val="none" w:sz="0" w:space="0" w:color="auto"/>
        <w:left w:val="none" w:sz="0" w:space="0" w:color="auto"/>
        <w:bottom w:val="none" w:sz="0" w:space="0" w:color="auto"/>
        <w:right w:val="none" w:sz="0" w:space="0" w:color="auto"/>
      </w:divBdr>
    </w:div>
    <w:div w:id="387413365">
      <w:bodyDiv w:val="1"/>
      <w:marLeft w:val="0"/>
      <w:marRight w:val="0"/>
      <w:marTop w:val="0"/>
      <w:marBottom w:val="0"/>
      <w:divBdr>
        <w:top w:val="none" w:sz="0" w:space="0" w:color="auto"/>
        <w:left w:val="none" w:sz="0" w:space="0" w:color="auto"/>
        <w:bottom w:val="none" w:sz="0" w:space="0" w:color="auto"/>
        <w:right w:val="none" w:sz="0" w:space="0" w:color="auto"/>
      </w:divBdr>
    </w:div>
    <w:div w:id="394091505">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0172939">
      <w:bodyDiv w:val="1"/>
      <w:marLeft w:val="0"/>
      <w:marRight w:val="0"/>
      <w:marTop w:val="0"/>
      <w:marBottom w:val="0"/>
      <w:divBdr>
        <w:top w:val="none" w:sz="0" w:space="0" w:color="auto"/>
        <w:left w:val="none" w:sz="0" w:space="0" w:color="auto"/>
        <w:bottom w:val="none" w:sz="0" w:space="0" w:color="auto"/>
        <w:right w:val="none" w:sz="0" w:space="0" w:color="auto"/>
      </w:divBdr>
    </w:div>
    <w:div w:id="493254710">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8225639">
      <w:bodyDiv w:val="1"/>
      <w:marLeft w:val="0"/>
      <w:marRight w:val="0"/>
      <w:marTop w:val="0"/>
      <w:marBottom w:val="0"/>
      <w:divBdr>
        <w:top w:val="none" w:sz="0" w:space="0" w:color="auto"/>
        <w:left w:val="none" w:sz="0" w:space="0" w:color="auto"/>
        <w:bottom w:val="none" w:sz="0" w:space="0" w:color="auto"/>
        <w:right w:val="none" w:sz="0" w:space="0" w:color="auto"/>
      </w:divBdr>
    </w:div>
    <w:div w:id="537549301">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080796">
      <w:bodyDiv w:val="1"/>
      <w:marLeft w:val="0"/>
      <w:marRight w:val="0"/>
      <w:marTop w:val="0"/>
      <w:marBottom w:val="0"/>
      <w:divBdr>
        <w:top w:val="none" w:sz="0" w:space="0" w:color="auto"/>
        <w:left w:val="none" w:sz="0" w:space="0" w:color="auto"/>
        <w:bottom w:val="none" w:sz="0" w:space="0" w:color="auto"/>
        <w:right w:val="none" w:sz="0" w:space="0" w:color="auto"/>
      </w:divBdr>
    </w:div>
    <w:div w:id="659425413">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3600151">
      <w:bodyDiv w:val="1"/>
      <w:marLeft w:val="0"/>
      <w:marRight w:val="0"/>
      <w:marTop w:val="0"/>
      <w:marBottom w:val="0"/>
      <w:divBdr>
        <w:top w:val="none" w:sz="0" w:space="0" w:color="auto"/>
        <w:left w:val="none" w:sz="0" w:space="0" w:color="auto"/>
        <w:bottom w:val="none" w:sz="0" w:space="0" w:color="auto"/>
        <w:right w:val="none" w:sz="0" w:space="0" w:color="auto"/>
      </w:divBdr>
    </w:div>
    <w:div w:id="75493410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2810161">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55806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7375817">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2285832">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03964110">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412731">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8105292">
      <w:bodyDiv w:val="1"/>
      <w:marLeft w:val="0"/>
      <w:marRight w:val="0"/>
      <w:marTop w:val="0"/>
      <w:marBottom w:val="0"/>
      <w:divBdr>
        <w:top w:val="none" w:sz="0" w:space="0" w:color="auto"/>
        <w:left w:val="none" w:sz="0" w:space="0" w:color="auto"/>
        <w:bottom w:val="none" w:sz="0" w:space="0" w:color="auto"/>
        <w:right w:val="none" w:sz="0" w:space="0" w:color="auto"/>
      </w:divBdr>
    </w:div>
    <w:div w:id="123535734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0812884">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150846">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6221887">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84991">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594000">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1220419">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469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057730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658966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4162452">
      <w:bodyDiv w:val="1"/>
      <w:marLeft w:val="0"/>
      <w:marRight w:val="0"/>
      <w:marTop w:val="0"/>
      <w:marBottom w:val="0"/>
      <w:divBdr>
        <w:top w:val="none" w:sz="0" w:space="0" w:color="auto"/>
        <w:left w:val="none" w:sz="0" w:space="0" w:color="auto"/>
        <w:bottom w:val="none" w:sz="0" w:space="0" w:color="auto"/>
        <w:right w:val="none" w:sz="0" w:space="0" w:color="auto"/>
      </w:divBdr>
    </w:div>
    <w:div w:id="173489078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4667389">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5420535">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295825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hyperlink" Target="https://www.undp.org/yemen/projects/enhancing-resilience-through-sustainable-water-resource-management" TargetMode="External"/><Relationship Id="rId26" Type="http://schemas.openxmlformats.org/officeDocument/2006/relationships/hyperlink" Target="https://faolex.fao.org/docs/pdf/yem147103.pdf" TargetMode="External"/><Relationship Id="rId39" Type="http://schemas.openxmlformats.org/officeDocument/2006/relationships/image" Target="media/image8.png"/><Relationship Id="rId21" Type="http://schemas.openxmlformats.org/officeDocument/2006/relationships/hyperlink" Target="https://www.undp.org/yemen/projects/integrated-water-resources-management-enhance-resilience-agriculture-era-and-food-security" TargetMode="External"/><Relationship Id="rId34" Type="http://schemas.openxmlformats.org/officeDocument/2006/relationships/image" Target="media/image3.png"/><Relationship Id="rId42" Type="http://schemas.openxmlformats.org/officeDocument/2006/relationships/image" Target="media/image11.png"/><Relationship Id="rId47" Type="http://schemas.openxmlformats.org/officeDocument/2006/relationships/hyperlink" Target="https://www.thegef.org/documents/policies-guidelines" TargetMode="External"/><Relationship Id="rId50" Type="http://schemas.openxmlformats.org/officeDocument/2006/relationships/image" Target="media/image13.png"/><Relationship Id="rId55" Type="http://schemas.openxmlformats.org/officeDocument/2006/relationships/hyperlink" Target="http://www.un.org/sc/committees/1267/aq_sanctions_list.shtml" TargetMode="External"/><Relationship Id="rId63" Type="http://schemas.microsoft.com/office/2011/relationships/people" Target="peop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undp.org/media/1194401/download?inline" TargetMode="External"/><Relationship Id="rId29" Type="http://schemas.openxmlformats.org/officeDocument/2006/relationships/hyperlink" Target="https://tech-action.unepccc.org/wp-content/uploads/sites/2/2024/08/final-tna-report-221024.pdf" TargetMode="External"/><Relationship Id="rId11" Type="http://schemas.openxmlformats.org/officeDocument/2006/relationships/endnotes" Target="endnotes.xml"/><Relationship Id="rId24" Type="http://schemas.openxmlformats.org/officeDocument/2006/relationships/hyperlink" Target="https://unfccc.int/resource/docs/napa/yem01.pdf" TargetMode="External"/><Relationship Id="rId32" Type="http://schemas.openxmlformats.org/officeDocument/2006/relationships/footer" Target="footer1.xml"/><Relationship Id="rId37" Type="http://schemas.openxmlformats.org/officeDocument/2006/relationships/image" Target="media/image6.png"/><Relationship Id="rId40" Type="http://schemas.openxmlformats.org/officeDocument/2006/relationships/image" Target="media/image9.png"/><Relationship Id="rId45" Type="http://schemas.openxmlformats.org/officeDocument/2006/relationships/hyperlink" Target="http://www.undp.org/content/undp/en/home/operations/accountability/evaluation/evaluation_policyofundp.html" TargetMode="External"/><Relationship Id="rId53" Type="http://schemas.openxmlformats.org/officeDocument/2006/relationships/footer" Target="footer3.xml"/><Relationship Id="rId58" Type="http://schemas.openxmlformats.org/officeDocument/2006/relationships/comments" Target="comments.xml"/><Relationship Id="rId5" Type="http://schemas.openxmlformats.org/officeDocument/2006/relationships/customXml" Target="../customXml/item5.xml"/><Relationship Id="rId61" Type="http://schemas.microsoft.com/office/2018/08/relationships/commentsExtensible" Target="commentsExtensible.xml"/><Relationship Id="rId19" Type="http://schemas.openxmlformats.org/officeDocument/2006/relationships/hyperlink" Target="https://www.undp.org/yemen/projects/yemen-food-security-response-and-resilience-project-fsrrp" TargetMode="External"/><Relationship Id="rId14" Type="http://schemas.openxmlformats.org/officeDocument/2006/relationships/image" Target="media/image15.png"/><Relationship Id="rId22" Type="http://schemas.openxmlformats.org/officeDocument/2006/relationships/hyperlink" Target="https://www.undp.org/yemen/projects/renewable-energy-improve-access-health-services-and-livelihood-opportunities-heal" TargetMode="External"/><Relationship Id="rId27" Type="http://schemas.openxmlformats.org/officeDocument/2006/relationships/hyperlink" Target="https://unfccc.int/sites/default/files/resource/3490581_Yemen-NC3-2-Yemen_TNC_2018_Final.pdf" TargetMode="External"/><Relationship Id="rId30" Type="http://schemas.openxmlformats.org/officeDocument/2006/relationships/header" Target="header1.xml"/><Relationship Id="rId35" Type="http://schemas.openxmlformats.org/officeDocument/2006/relationships/image" Target="media/image4.png"/><Relationship Id="rId43" Type="http://schemas.openxmlformats.org/officeDocument/2006/relationships/image" Target="media/image12.png"/><Relationship Id="rId48" Type="http://schemas.openxmlformats.org/officeDocument/2006/relationships/hyperlink" Target="http://www.undp.org/content/undp/en/home/operations/accountability/programme_and_operationspoliciesandprocedures.html" TargetMode="External"/><Relationship Id="rId56" Type="http://schemas.openxmlformats.org/officeDocument/2006/relationships/hyperlink" Target="https://pims.undp.org/attachments/10103/221989/1793907/1876322/Readiness%20Proposal_National%20Adaptation%20Plan_Yemen.pdf" TargetMode="External"/><Relationship Id="rId64"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s://info.undp.org/global/popp/ppm/Pages/Closing-a-Project.asp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www.undp.org/media/935426/download?inline" TargetMode="External"/><Relationship Id="rId25" Type="http://schemas.openxmlformats.org/officeDocument/2006/relationships/hyperlink" Target="https://www4.unfccc.int/sites/submissions/INDC/Published%20Documents/Yemen/1/Yemen%20INDC%2021%20Nov.%202015.pdf" TargetMode="External"/><Relationship Id="rId33" Type="http://schemas.openxmlformats.org/officeDocument/2006/relationships/footer" Target="footer2.xml"/><Relationship Id="rId38" Type="http://schemas.openxmlformats.org/officeDocument/2006/relationships/image" Target="media/image7.png"/><Relationship Id="rId46" Type="http://schemas.openxmlformats.org/officeDocument/2006/relationships/hyperlink" Target="https://www.greenclimate.fund/documents/20182/296788/GCF_Handbook__Decisions__Policies_and_Frameworks__updated_June_2019_.pdf/25fd22ec-4f81-44ee-b5d1-20bceb2c9264" TargetMode="External"/><Relationship Id="rId59" Type="http://schemas.microsoft.com/office/2011/relationships/commentsExtended" Target="commentsExtended.xml"/><Relationship Id="rId20" Type="http://schemas.openxmlformats.org/officeDocument/2006/relationships/hyperlink" Target="https://www.undp.org/yemen/erry-jp" TargetMode="External"/><Relationship Id="rId41" Type="http://schemas.openxmlformats.org/officeDocument/2006/relationships/image" Target="media/image10.png"/><Relationship Id="rId54" Type="http://schemas.openxmlformats.org/officeDocument/2006/relationships/hyperlink" Target="javascript:popUp2('f?p=2200:52:3690222342913::NO:52:P52_CONTENT_REPOSITORY_ID,P52_FORMAT:103020,BINARY:NO%27,600,500);"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0.emf"/><Relationship Id="rId23" Type="http://schemas.openxmlformats.org/officeDocument/2006/relationships/hyperlink" Target="https://www.undp.org/yemen/projects/sustainable-fishery-development-red-sea-and-gulf-aden-sfish" TargetMode="External"/><Relationship Id="rId28" Type="http://schemas.openxmlformats.org/officeDocument/2006/relationships/hyperlink" Target="https://www.greenclimate.fund/document/yemen-country-programme" TargetMode="External"/><Relationship Id="rId36" Type="http://schemas.openxmlformats.org/officeDocument/2006/relationships/image" Target="media/image5.png"/><Relationship Id="rId49" Type="http://schemas.openxmlformats.org/officeDocument/2006/relationships/hyperlink" Target="https://www.greenclimate.fund/sites/default/files/page/gcf-branding-guidelines.pdf" TargetMode="External"/><Relationship Id="rId57" Type="http://schemas.openxmlformats.org/officeDocument/2006/relationships/image" Target="media/image14.png"/><Relationship Id="rId10" Type="http://schemas.openxmlformats.org/officeDocument/2006/relationships/footnotes" Target="footnotes.xml"/><Relationship Id="rId31" Type="http://schemas.openxmlformats.org/officeDocument/2006/relationships/header" Target="header2.xml"/><Relationship Id="rId44" Type="http://schemas.openxmlformats.org/officeDocument/2006/relationships/hyperlink" Target="http://www.undp.org/content/undp/en/home/operations/accountability/programme_and_operationspoliciesandprocedures.html" TargetMode="External"/><Relationship Id="rId52" Type="http://schemas.openxmlformats.org/officeDocument/2006/relationships/header" Target="header3.xml"/><Relationship Id="rId60"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webSettings" Target="webSettings.xml"/></Relationships>
</file>

<file path=word/_rels/footnotes.xml.rels><?xml version="1.0" encoding="UTF-8" standalone="yes"?>
<Relationships xmlns="http://schemas.openxmlformats.org/package/2006/relationships"><Relationship Id="rId8" Type="http://schemas.openxmlformats.org/officeDocument/2006/relationships/hyperlink" Target="https://www.undp.org/arab-states/publications/impact-climate-change-human-development-yemen" TargetMode="External"/><Relationship Id="rId3" Type="http://schemas.openxmlformats.org/officeDocument/2006/relationships/hyperlink" Target="https://climateknowledgeportal.worldbank.org/country/yemen-rep/climate-data-projections" TargetMode="External"/><Relationship Id="rId7" Type="http://schemas.openxmlformats.org/officeDocument/2006/relationships/hyperlink" Target="https://hdr.undp.org/data-center/thematic-composite-indices/gender-inequality-index" TargetMode="External"/><Relationship Id="rId2" Type="http://schemas.openxmlformats.org/officeDocument/2006/relationships/hyperlink" Target="https://www.undp.org/arab-states/publications/impact-climate-change-human-development-yemen" TargetMode="External"/><Relationship Id="rId1" Type="http://schemas.openxmlformats.org/officeDocument/2006/relationships/hyperlink" Target="https://www.adaptation-undp.org/explore/arab-states/yemen" TargetMode="External"/><Relationship Id="rId6" Type="http://schemas.openxmlformats.org/officeDocument/2006/relationships/hyperlink" Target="https://www.oxfam.org/en/yemen-brink-conflict-pushing-millions-towards-famine" TargetMode="External"/><Relationship Id="rId5" Type="http://schemas.openxmlformats.org/officeDocument/2006/relationships/hyperlink" Target="https://reliefweb.int/report/yemen/climate-change-impacts-yemen-and-adaptation-strategies" TargetMode="External"/><Relationship Id="rId10"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databank.worldbank.org/Human-development-index/id/363d401b" TargetMode="External"/><Relationship Id="rId9" Type="http://schemas.openxmlformats.org/officeDocument/2006/relationships/hyperlink" Target="https://openknowledge.worldbank.org/server/api/core/bitstreams/45f4c808-a757-4d01-9aef-b9a4f37d6c7c/cont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fficeCountry xmlns="d9cf0e28-81d2-4dc7-8b10-820d80ed680d">B0464 - Republic of Yemen - Sana'a</OfficeCountry>
    <DocumentStatus xmlns="d9cf0e28-81d2-4dc7-8b10-820d80ed680d">Final</DocumentStatus>
    <DocCoverageEndDate xmlns="d9cf0e28-81d2-4dc7-8b10-820d80ed680d">2029-07-22T04:00:00+00:00</DocCoverageEndDate>
    <TaxCatchAll xmlns="e91d5986-7c29-4ed1-8a54-b8fb378ed474" xsi:nil="true"/>
    <FunctionalArea xmlns="d9cf0e28-81d2-4dc7-8b10-820d80ed680d">Programme and Project</FunctionalArea>
    <FileNameDescription xmlns="d9cf0e28-81d2-4dc7-8b10-820d80ed680d">Developing and implementing the National Adaptation Plan (NAP) Process in Yemen </FileNameDescription>
    <ProjectNumber xmlns="d9cf0e28-81d2-4dc7-8b10-820d80ed680d">01004504</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UNDP-YEM</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2025-04-22T04:00:00+00:00</DocCoverageStartDate>
    <FileClassificationMode xmlns="d9cf0e28-81d2-4dc7-8b10-820d80ed680d">Public</FileClassificationMode>
    <OutputNumber xmlns="d9cf0e28-81d2-4dc7-8b10-820d80ed68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7CB953-4BBD-4B78-BD76-050C868AE80F}">
  <ds:schemaRefs>
    <ds:schemaRef ds:uri="http://schemas.microsoft.com/sharepoint/v3/contenttype/forms"/>
  </ds:schemaRefs>
</ds:datastoreItem>
</file>

<file path=customXml/itemProps2.xml><?xml version="1.0" encoding="utf-8"?>
<ds:datastoreItem xmlns:ds="http://schemas.openxmlformats.org/officeDocument/2006/customXml" ds:itemID="{BA2A93A5-6807-45B9-8F63-DB321E1A99CF}">
  <ds:schemaRefs>
    <ds:schemaRef ds:uri="http://schemas.microsoft.com/office/2006/metadata/properties"/>
    <ds:schemaRef ds:uri="http://schemas.microsoft.com/office/infopath/2007/PartnerControls"/>
    <ds:schemaRef ds:uri="e13b4a07-abe5-46d6-a84f-f2ebc2873b14"/>
  </ds:schemaRefs>
</ds:datastoreItem>
</file>

<file path=customXml/itemProps3.xml><?xml version="1.0" encoding="utf-8"?>
<ds:datastoreItem xmlns:ds="http://schemas.openxmlformats.org/officeDocument/2006/customXml" ds:itemID="{9DA1FEB0-B175-49D6-B96D-53A7916CA339}"/>
</file>

<file path=customXml/itemProps4.xml><?xml version="1.0" encoding="utf-8"?>
<ds:datastoreItem xmlns:ds="http://schemas.openxmlformats.org/officeDocument/2006/customXml" ds:itemID="{E3064EF3-4CD3-4BF1-A9FF-63FFD01E1887}">
  <ds:schemaRefs>
    <ds:schemaRef ds:uri="http://schemas.microsoft.com/office/2006/metadata/longProperties"/>
  </ds:schemaRefs>
</ds:datastoreItem>
</file>

<file path=customXml/itemProps5.xml><?xml version="1.0" encoding="utf-8"?>
<ds:datastoreItem xmlns:ds="http://schemas.openxmlformats.org/officeDocument/2006/customXml" ds:itemID="{58E226AE-689F-49E7-B6F0-634887408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116</Pages>
  <Words>46203</Words>
  <Characters>263362</Characters>
  <Application>Microsoft Office Word</Application>
  <DocSecurity>0</DocSecurity>
  <Lines>2194</Lines>
  <Paragraphs>617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308948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Developing and implementing the National Adaptation Plan (NAP) Process in Yemen </dc:title>
  <dc:subject>Project Management</dc:subject>
  <dc:creator>nancy.bennet@undp.org</dc:creator>
  <cp:keywords/>
  <dc:description/>
  <cp:lastModifiedBy>Editor</cp:lastModifiedBy>
  <cp:revision>10</cp:revision>
  <cp:lastPrinted>2019-07-12T18:33:00Z</cp:lastPrinted>
  <dcterms:created xsi:type="dcterms:W3CDTF">2025-06-29T05:52:00Z</dcterms:created>
  <dcterms:modified xsi:type="dcterms:W3CDTF">2025-07-19T14:05:00Z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dc80c1df-4b5e-491d-b411-201e0a6b0ad9</vt:lpwstr>
  </property>
  <property fmtid="{D5CDD505-2E9C-101B-9397-08002B2CF9AE}" pid="4" name="_dlc_DocId">
    <vt:lpwstr>KKKATZMDSDUY-340-120</vt:lpwstr>
  </property>
  <property fmtid="{D5CDD505-2E9C-101B-9397-08002B2CF9AE}" pid="5" name="_dlc_DocIdUrl">
    <vt:lpwstr>https://intranet.undp.org/unit/bpps/sdev/gef/_layouts/15/DocIdRedir.aspx?ID=KKKATZMDSDUY-340-120, KKKATZMDSDUY-340-120</vt:lpwstr>
  </property>
  <property fmtid="{D5CDD505-2E9C-101B-9397-08002B2CF9AE}" pid="6" name="Description0">
    <vt:lpwstr/>
  </property>
  <property fmtid="{D5CDD505-2E9C-101B-9397-08002B2CF9AE}" pid="7" name="Category">
    <vt:lpwstr>Concept Design Phase</vt:lpwstr>
  </property>
  <property fmtid="{D5CDD505-2E9C-101B-9397-08002B2CF9AE}" pid="8" name="GrammarlyDocumentId">
    <vt:lpwstr>f013ff8a6f22d29a9d9db9f8bf9edbcbc41d2295c08b55d7a24babc98eeadece</vt:lpwstr>
  </property>
  <property fmtid="{D5CDD505-2E9C-101B-9397-08002B2CF9AE}" pid="9" name="MediaServiceImageTags">
    <vt:lpwstr/>
  </property>
</Properties>
</file>